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BB.2017.82 vom 21. Juni 2017</w:t>
      </w:r>
    </w:p>
    <w:p>
      <w:r>
        <w:t>Bundesstrafgericht, 2017-06-21, FR</w:t>
      </w:r>
    </w:p>
    <w:p>
      <w:r>
        <w:rPr>
          <w:b/>
        </w:rPr>
        <w:t xml:space="preserve">Quelle: </w:t>
      </w:r>
      <w:r>
        <w:t>https://mcp.opencaselaw.ch/entscheid/bstger_BB.2017.82</w:t>
      </w:r>
    </w:p>
    <w:p>
      <w:r>
        <w:t>FR: TPF BB.2017.82 du 21 juin 2017</w:t>
      </w:r>
    </w:p>
    <w:p>
      <w:r>
        <w:t>IT: TPF BB.2017.82 del 21 giugno 2017</w:t>
      </w:r>
    </w:p>
    <w:p>
      <w:pPr>
        <w:pStyle w:val="Heading2"/>
      </w:pPr>
      <w:r>
        <w:t>Regeste</w:t>
      </w:r>
    </w:p>
    <w:p>
      <w:r>
        <w:t>Séquestre (art. 263 ss CPP). Effet suspensif (art. 387 CPP).</w:t>
      </w:r>
    </w:p>
    <w:p>
      <w:pPr>
        <w:pStyle w:val="Heading2"/>
      </w:pPr>
      <w:r>
        <w:t>Erwägungen</w:t>
      </w:r>
    </w:p>
    <w:p>
      <w:r>
        <w:rPr>
          <w:b/>
        </w:rPr>
        <w:t>E. 1.1</w:t>
      </w:r>
    </w:p>
    <w:p>
      <w:r>
        <w:t>Les décisions du MPC peuvent faire l’objet d’un recours devant la Cour de céans (art. 393 al. 1 let. a CPP et 37 al. 1 de la loi sur l'organisation des autorités pénales de la Confédération [LOAP; RS 173.71] en lien avec l’art. 19 al. 1 du règlement sur l’organisation du Tribunal pénal fédéral [ROTPF; RS 173.713.161]). Toute partie qui a un intérêt juridiquement pro- tégé à l’annulation ou à la modification d’une décision a qualité pour recourir contre celle-ci (art. 382 al. 1 CPP).</w:t>
      </w:r>
    </w:p>
    <w:p>
      <w:r>
        <w:rPr>
          <w:b/>
        </w:rPr>
        <w:t>E. 1.2</w:t>
      </w:r>
    </w:p>
    <w:p>
      <w:r>
        <w:t>S’agissant d’une mesure de séquestre d’un compte bancaire, seul le titulaire du compte remplit en principe cette condition, à l’exclusion de l’ayant droit économique, lequel n’est qu’indirectement touché par la mesure de saisie (arrêt du Tribunal fédéral 1B_94/2012 du 2 avril 2012, consid. 2.1 in fine; décision du Tribunal pénal fédéral BB.2011.10-11 du 18 mai 2011, con- sid. 1.5 et les références citées). En l'espèce, la société recourante est la titulaire des deux relations bancaires visées par les mesures ici entreprises. Elle dispose ainsi d'un intérêt juridiquement protégé à l'annulation de ces dernières.</w:t>
      </w:r>
    </w:p>
    <w:p>
      <w:r>
        <w:rPr>
          <w:b/>
        </w:rPr>
        <w:t>E. 1.3</w:t>
      </w:r>
    </w:p>
    <w:p>
      <w:r>
        <w:t>Le recours contre les décisions notifiées par écrit ou oralement est motivé et adressé par écrit, dans un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 Ces conditions étant rem- plies en l’espèce, le recours est recevable.</w:t>
      </w:r>
    </w:p>
    <w:p>
      <w:r>
        <w:rPr>
          <w:b/>
        </w:rPr>
        <w:t>E. 2</w:t>
      </w:r>
    </w:p>
    <w:p>
      <w:r>
        <w:t>Du point de vue formel, la recourante se plaint d'abord de la violation de son droit d'être entendue et ce sous l'angle du droit à une décision motivée. Elle fait valoir à cet égard que l'autorité n’a absolument pas explicité le lien entre elle et les faits objet de l’enquête (v. act. 1, p. 3 et s).</w:t>
      </w:r>
    </w:p>
    <w:p>
      <w:r>
        <w:t>- 4 -</w:t>
      </w:r>
    </w:p>
    <w:p>
      <w:r>
        <w:rPr>
          <w:b/>
        </w:rPr>
        <w:t>E. 2.1</w:t>
      </w:r>
    </w:p>
    <w:p>
      <w:r>
        <w:t>Il découle notamment du droit d’être entendu, garanti par l’art. 29 al. 2 Cst., l’obligation pour l’autorité d’indiquer dans son prononcé les motifs qui la con- 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1A.58/2006 du 12 avril 2006, consid. 2.2). L’objet et la précision des indications à fournir dépendent de la nature de l’affaire et des circonstances particulières du cas; néanmoins, en règle générale, il suffit que l’autorité mentionne au moins briè- vement les motifs qui l’ont guidée, sans qu’elle soit tenue de discuter de ma- nière détaillée tous les arguments soulevés par les parties (ATF 112 Ia 107 consid. 2b; v. aussi ATF 126 I 97 consid. 2b; 125 II 369 consid. 2c; 124 II 146 consid. 2a); l’autorité n’est pas davantage astreinte à statuer séparé- ment sur chacune des conclusions qui lui sont présentées (arrêt du Tribunal fédéral 1A.95/2002 du 16 juillet 2002, consid. 3.1). Elle peut se limiter à l’exa- men des questions décisives pour l’issue du litige; il suffit que le justiciable puisse apprécier correctement la portée de la décision et l’attaquer à bon escient (ATF 126 I 15 consid. 2a/aa; 125 II 369 consid. 2c; 124 II 146 con- sid. 2a; 124 V 180 consid. 1a et les arrêts cités).</w:t>
      </w:r>
    </w:p>
    <w:p>
      <w:r>
        <w:rPr>
          <w:b/>
        </w:rPr>
        <w:t>E. 2.2</w:t>
      </w:r>
    </w:p>
    <w:p>
      <w:r>
        <w:t>En l'espèce, l'acte attaqué ne contient pas la motivation minimale que le jus- ticiable est en droit d'attendre. Mis à part le contexte général lié aux infrac- tions préalables présumées (v. act. 1.1, p. 4 ch. 2 et 3; supra Faits lett. A), l'autorité intimée, en ce qui concerne la recourante, s'est contentée d’affirmer que ses comptes pourraient avoir reçu des valeurs patrimoniales présumées d’origine criminelle «car pouvant être issues des procédés illicites mis en œuvre par les membres du groupe C.» (v. act. 1.1, p. 5). Elle n’a fourni au- cune explication sur le lien entre les infractions préalables présumées et les comptes bancaires de la recourante. Ainsi, le moyen tiré du défaut de moti- vation de l’ordonnance querellée doit-il être admis. Cela étant, l'insuffisance de motivation peut toutefois se guérir devant l'autorité supérieure lorsque l'autorité intimée justifie sa décision et l'explique dans son mémoire de ré- ponse, que la partie recourante a la possibilité de présenter un mémoire complémentaire pour prendre position sur les motifs contenus dans la ré- ponse de l'autorité intimée et qu'il n'en résulte aucun préjudice pour la recou- rante (v. ATF 125 I 209 consid. 9a et les arrêts cités; décision du Tribunal pénal fédéral BB.2012.192 du 25 avril 2013, consid. 2.5 et arrêt du Tribunal pénal fédéral BB.2010.22 du 26 juillet 2010, consid. 2). Dès lors que le MPC a, en procédure de recours, adressé une prise de position explicitant les mo- tifs fondant, à son sens, la décision entreprise (v. act. 4), et au vu de l'échange d'écritures intervenu devant la Cour de céans – qui dispose du même pouvoir d'examen que l'autorité inférieure (art. 393 al. 2 CPP) –, force</w:t>
      </w:r>
    </w:p>
    <w:p>
      <w:r>
        <w:t>- 5 -</w:t>
      </w:r>
    </w:p>
    <w:p>
      <w:r>
        <w:t>est de retenir que la recourante a eu la possibilité de s'exprimer librement en invoquant l'ensemble de ses arguments. Le vice a par conséquent été guéri dans le cadre de la présente procédure. Il sera néanmoins tenu compte de la violation ici constatée dans le cadre de la fixation des frais de justice (v. in- fra consid. 5).</w:t>
      </w:r>
    </w:p>
    <w:p>
      <w:r>
        <w:rPr>
          <w:b/>
        </w:rPr>
        <w:t>E. 3</w:t>
      </w:r>
    </w:p>
    <w:p>
      <w:r>
        <w:t>La recourante estime que les séquestres prononcés par le MPC en date du 24 février 2017 l'ont été à l'encontre des règles et principes applicables en la matière. Plus particulièrement, il serait incompréhensible que l’autorité d’en- quête puisse envisager que les valeurs patrimoniales déposées en Suisse sur ses relations bancaires puissent avoir une origine criminelle. Tant le prin- cipe que les montants en cause ne seraient pas expliqués (v. act. 1, p. 5).</w:t>
      </w:r>
    </w:p>
    <w:p>
      <w:r>
        <w:rPr>
          <w:b/>
        </w:rPr>
        <w:t>E. 3.1</w:t>
      </w:r>
    </w:p>
    <w:p>
      <w:r>
        <w:t>Le séquestre prévu par l’art. 263 CPP est une mesure provisoire (conserva- toire) qui permet la saisie de moyens de preuve, respectivement d'objets ou de valeurs qui pourraient faire l’objet d’une confiscation en application du droit pénal fédéral (arrêt du Tribunal fédéral 1S.2/2004 du 6 août 2004, con- sid. 2.2). Il faut que des indices suffisants permettent de suspecter que les valeurs patrimoniales ont servi à commettre une infraction ou en sont le pro- duit, que les infractions aient été commises par leur détenteur ou par un tiers (art. 197 CPP; arrêt du Tribunal pénal fédéral BB.2005.42 du 14 septembre 2005, consid. 2.1; HEIMGARTNER, Strafprozessuale Beschlagnahme, Zurich 2011, p. 125 ss). Pour que le maintien du séquestre pendant une période prolongée se justifie, il importe que ces présomptions se renforcent en cours d’enquête et que l’existence d’un lien de causalité adéquat entre les valeurs saisies et les actes délictueux puisse être considérée comme hautement vraisemblable (ATF 122 IV 91 consid. 4 p. 95; SCHMID, Schweizerische Straf- prozessordnung, Praxiskommentar, 2e éd. 2013, n° 5 ad art. 263; LEMBO/JU- LEN BERTHOD, in Commentaire romand CPP, Bâle 2011, n° 26 ad art. 263). La mesure doit par ailleurs, à l’instar de toute mesure de contrainte, reposer sur une base légale, être justifiée par un intérêt public suffisant et respecter le principe de la proportionnalité, étant précisé que l’autorité dispose à cet égard d’une grande marge d’appréciation (art. 197 CPP ainsi que arrêt du Tribunal fédéral 1P.239/2002 du 9 août 2002, consid. 3.1; arrêt du Tribunal pénal fédéral BB.2008.98 du 8 avril 2009, consid. 3). Tant que subsiste un doute sur la part des fonds qui pourrait provenir d'une activité criminelle, l'intérêt public commande que ceux-ci demeurent à la disposition de la justice (arrêts du Tribunal pénal fédéral BB.2008.11 du 16 mai 2008, consid. 3.1; BB.2005.28 du 7 juillet 2005, consid. 2; ATF 125 IV 222 consid. 2 non publié; 124 IV 313 consid. 3b et 4 p. 316; SJ 1994 p. 97, 102).</w:t>
      </w:r>
    </w:p>
    <w:p>
      <w:r>
        <w:t>- 6 -</w:t>
      </w:r>
    </w:p>
    <w:p>
      <w:r>
        <w:rPr>
          <w:b/>
        </w:rPr>
        <w:t>E. 3.2.1</w:t>
      </w:r>
    </w:p>
    <w:p>
      <w:r>
        <w:t>Selon le MPC, en substance, au stade actuel de l’enquête dirigée contre B. (v. supra let. A), "on ne pourrait manifestement exclure que les valeurs sai- sies ne puissent être d’origine criminelle et partant ne puissent être confis- quées, ou, au besoin, servir au paiement d’une créance compensatrice" (v. act. 4, p. 4). L’autorité d’exécution soupçonne B. d’avoir blanchi, avec le concours de tiers et au moyen de sociétés offshore, les valeurs patrimoniales présumées issues des malversations comptables commises au sein du groupe C.</w:t>
      </w:r>
    </w:p>
    <w:p>
      <w:r>
        <w:t>Le MPC a mis à jour des liens entre la recourante et certaines personnes touchées par les faits objet de l’enquête. Les deux relations bancaires sé- questrées ont pour ayants droit économique des membres de la famille de B. et G. dont G.; v. act. 4.1 et 4.2). Celui-ci aurait exercé la fonction de membre du Comité exécutif de la banque H. aux côtés de B. Simultanément, B. et G. auraient exercé les fonctions de membre du conseil d’administration d’I. Financial Group, de D. SA et de la banque F. La recourante serait action- naire principal de la société J. SA, la holding du groupe C. (v. act. 4.3 et 4.4). À cause du volume exceptionnel de données et actes saisis, de la complexité des structures financières utilisées, du nombre de relations bancaires à ana- lyser et du nombre de personnes morales et physiques impliquées, ce ne serait qu’en février 2017 que le MPC aurait pris connaissance des liens entre la famille de B. et G. et la recourante (v. act. 4, p. 3 et s.). Par ailleurs, il ressortirait de l’analyse en cours des données saisies que le Département financier et de marché de la banque H. aurait ordonné qu’un prêt soit octroyé, à hauteur d’EUR 10 millions, à travers des sociétés à finalité spécifique, per- mettant l’acquisition par la recourante de titres émis par la banque H. Lon- don, étant précisé que les fonds utilisés auraient été obtenus par l’émission de dettes de D. SA placées auprès de clients institutionnels du groupe C. et de la clientèle privée des entités financières du même secteur (v. act. 4, p. 4). Le MPC affirme que les comptes ouverts au nom de la recourante auraient un lien avec le groupe C. et qu’il ne pourrait être exclu que B., en sa qualité d’ex-PDG de la banque H. et, de ce fait, également de personne proche des ayants-droit économique des comptes querellés, ait pu se servir (directement ou indirectement) des relations bancaires dans la perpétration des infrac- tions visées par l’enquête (v. ibidem).</w:t>
      </w:r>
    </w:p>
    <w:p>
      <w:r>
        <w:rPr>
          <w:b/>
        </w:rPr>
        <w:t>E. 3.2.2</w:t>
      </w:r>
    </w:p>
    <w:p>
      <w:r>
        <w:t>A la lumière des éléments récoltés par le MPC à ce stade, force est d’ad- mettre qu’il existe – en l’état – des indices suffisants permettant de suspecter que les valeurs patrimoniales saisies sur le compte de la recourante pour- raient être liées aux infractions dont B. et autres sont soupçonnés dans le cadre de la débâcle du groupe C.</w:t>
      </w:r>
    </w:p>
    <w:p>
      <w:r>
        <w:t>- 7 -</w:t>
      </w:r>
    </w:p>
    <w:p>
      <w:r>
        <w:t>L'existence d'un prêt de EUR 10 millions octroyé par le Département finan- cier et de marché de la banque H. à la recourante pour l'acquisition de titres émis par la banque H. London, fonds obtenus par l'émission de dettes de D. SA auprès des clients de la banque H., est, à ce stade, propre à fonder des soupçons suffisants que le compte en question a pu servir au transit de va- leurs patrimoniales liés à la débâcle du groupe C. À cela s'ajoute le fait que ayants-droit économique des comptes de la recourante sont plusieurs membres de la famille de B. et G. (v. act. 4.1 et 4.2), parmi lesquels G., personnage qui, comme le prévenu B., était membre du comité exécutif de la banque H. Au vu de l'ampleur et de la complexité du mécanisme poten- tiellement frauduleux mis à jour par les enquêteurs, avec la découverte de plusieurs relations bancaires, personnes physiques et juridiques qui pour- raient être impliquées, des soupçons peuvent raisonnablement exister quant aux fonds déposés sur, ou passés par les relations de la recourante. Il sied de relever le fait que les investigations du MPC, certes ouvertes en août 2014 contre B., n'ont conduit au prononcé de la mesure ici contestée qu'en février 2017 (v. supra let. A) du fait du volume exceptionnel de données et actes saisis et du nombre d'entités impliquées (v. act. 4, p. 4). Dans le cadre de procédures complexes portant sur des soupçons de criminalité économique transfrontalière mettant aux prises de nombreux acteurs – parmi lesquels plusieurs sociétés –, et nécessitant la collaboration étrangère par la voie de l’entraide, il tombe sous le sens que les soupçons initiaux présidant à l’ouver- ture d’une enquête peuvent mettre un certain temps à se concrétiser. A cet égard, l’autorité de poursuite doit pouvoir être en mesure d’analyser la docu- mentation en sa possession et prendre les mesures d’instruction qui s’impo- sent pour confirmer, respectivement infirmer l’existence du soupçon initial.</w:t>
      </w:r>
    </w:p>
    <w:p>
      <w:r>
        <w:t>Dans ces circonstances, au vu de l'ampleur des vérifications et autres éclair- cissements à opérer sur les mouvements des comptes de la recourante et leurs éventuelles ramifications, l'autorité de poursuite doit pouvoir disposer d'un certain temps pour instruire ces questions, à charge comme à décharge. L’analyse de la documentation est en cours. Si, à ce stade et pour les motifs qui précèdent, la mesure de séquestre est justifiée tant sur le principe que sur son montant, l'autorité intimée devra, à terme et dans le respect du prin- cipe de la proportionnalité, être en mesure d'évaluer et de motiver plus avant les motifs et le montant précis du séquestre. Le MPC est invité à agir sans désemparer.</w:t>
      </w:r>
    </w:p>
    <w:p>
      <w:r>
        <w:rPr>
          <w:b/>
        </w:rPr>
        <w:t>E. 3.3</w:t>
      </w:r>
    </w:p>
    <w:p>
      <w:r>
        <w:t>Sur le vu de l’ensemble des éléments qui précèdent, il apparaît que la me- sure de séquestre visant les relations n.. 1 et n. 2, dont la recourante est titulaire auprès de la banque F. en liquidation à Lausanne repose sur des</w:t>
      </w:r>
    </w:p>
    <w:p>
      <w:r>
        <w:t>- 8 -</w:t>
      </w:r>
    </w:p>
    <w:p>
      <w:r>
        <w:t>soupçons suffisants, d'une part, et n’est – à ce stade de l’enquête – pas dis- proportionnée tant quant à son principe que du point de vue de sa durée, d'autre part.</w:t>
      </w:r>
    </w:p>
    <w:p>
      <w:r>
        <w:rPr>
          <w:b/>
        </w:rPr>
        <w:t>E. 4</w:t>
      </w:r>
    </w:p>
    <w:p>
      <w:r>
        <w:t>Le recours se révèle mal fondé et doit être rejeté.</w:t>
      </w:r>
    </w:p>
    <w:p>
      <w:r>
        <w:rPr>
          <w:b/>
        </w:rPr>
        <w:t>E. 5</w:t>
      </w:r>
    </w:p>
    <w:p>
      <w:r>
        <w:t>Le requête d'effet suspensif est, au vu du sort du recours, sans objet.</w:t>
      </w:r>
    </w:p>
    <w:p>
      <w:r>
        <w:rPr>
          <w:b/>
        </w:rPr>
        <w:t>E. 6</w:t>
      </w:r>
    </w:p>
    <w:p>
      <w:r>
        <w:t>Selon l’art. 428 al. 1 CPP, les frais de la procédure de recours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 Il doit en l’occurrence être réduit du fait que l’autorité inférieure a violé le droit d’être entendu de la recourante (v. supra consid. 2.2). Cette dernière supportera dès lors un émolument qui, en application de l’art. 8 du règlement du Tribunal pénal fédéral du 31 août 2010 sur les frais, émoluments, dépens et indem- nités de la procédure pénale fédérale (RFPPF; RS 173.713.162) sera fixé à fr. 500.–.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