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BB.2017.8 vom 7. Februar 2017</w:t>
      </w:r>
    </w:p>
    <w:p>
      <w:r>
        <w:t>Bundesstrafgericht, 2017-02-07, FR</w:t>
      </w:r>
    </w:p>
    <w:p>
      <w:r>
        <w:rPr>
          <w:b/>
        </w:rPr>
        <w:t xml:space="preserve">Quelle: </w:t>
      </w:r>
      <w:r>
        <w:t>https://mcp.opencaselaw.ch/entscheid/bstger_BB.2017.8</w:t>
      </w:r>
    </w:p>
    <w:p>
      <w:r>
        <w:t>FR: TPF BB.2017.8 du 7 février 2017</w:t>
      </w:r>
    </w:p>
    <w:p>
      <w:r>
        <w:t>IT: TPF BB.2017.8 del 7 febbraio 2017</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des plaintes examine avec plein pou- voir de cognition en fait et en droit les recours qui lui sont soumis (Message relatif à l'unification du droit de la procédure pénale du 21 décembre 2005 [ci-après: Message CPP], FF 2006 1057, p. 1296 in fine; GUIDON, Commen- taire bâlois, Schweizerische Strafprozessordnung, 2e éd., Bâle 2014, n° 15</w:t>
      </w:r>
    </w:p>
    <w:p>
      <w:r>
        <w:t>- 4 -</w:t>
      </w:r>
    </w:p>
    <w:p>
      <w:r>
        <w:t>ad art. 393; KELLER, Kommentar zur Schweizerischen Strafprozessordnung [StPO], Donatsch/Hansjakob/Lieber [édit.], Zurich/Bâle/Genève 2014, 2e éd., n° 39 ad art. 393; SCHMID, Handbuch des schweizerischen Strafprozess- rechts, 2e éd., Zurich/Saint-Gall 2013, n° 1512).</w:t>
      </w:r>
    </w:p>
    <w:p>
      <w:r>
        <w:rPr>
          <w:b/>
        </w:rPr>
        <w:t>E. 1.2</w:t>
      </w:r>
    </w:p>
    <w:p>
      <w:r>
        <w:t>Les décisions de non-entrée en matière du MPC peuvent faire l'objet d'un recours devant la Cour de céans (art. 322 al. 2 CPP par renvoi de l'art. 310 al. 2 CPP;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w:t>
      </w:r>
    </w:p>
    <w:p>
      <w:r>
        <w:t>Interjeté le 16 janvier 2017 contre une décision notifiée le 4 de ce même mois, le recours a été formé en temps utile.</w:t>
      </w:r>
    </w:p>
    <w:p>
      <w:r>
        <w:rPr>
          <w:b/>
        </w:rPr>
        <w:t>E. 1.3</w:t>
      </w:r>
    </w:p>
    <w:p>
      <w:r>
        <w:t>Dispose de la qualité pour recourir toute partie qui a un intérêt juridiquement protégé à l'annulation ou à la modification d'une décision (art. 382 al. 1 CPP; arrêt du Tribunal fédéral 1B_657/2012 du 8 mars 2013, consid. 2.3.1). Cet intérêt doit être actuel (décision du Tribunal pénal fédéral BB.2013.88 du 13 septembre 2013, consid. 1.4 et références citées). La notion de partie visée par cette disposition doit être comprise au sens des art. 104 et 105 CPP.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 par une infrac- tion ». L'art.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w:t>
      </w:r>
    </w:p>
    <w:p>
      <w:r>
        <w:rPr>
          <w:b/>
        </w:rPr>
        <w:t>E. 1.4</w:t>
      </w:r>
    </w:p>
    <w:p>
      <w:r>
        <w:t>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CPP, FF 2005 p. 1148). En revanche, lorsque l'infraction protège en première ligne l'intérêt collectif, les particuliers ne sont considérés comme lésés que si leurs intérêts privés ont été effectivement</w:t>
      </w:r>
    </w:p>
    <w:p>
      <w:r>
        <w:t>- 5 -</w:t>
      </w:r>
    </w:p>
    <w:p>
      <w:r>
        <w:t>touchés par les actes en cause, de sorte que leur dommage apparaît comme la conséquence directe de l'acte dénoncé (ATF 129 IV 95 consid. 3.1 et les arrêts cités; arrêts du Tribunal fédéral 1B_723/2012 du 15 mars 2013, con- sid. 4.1; 1B_489/2011 du 24 janvier 2012, consid. 1.2; décision du Tribunal pénal fédéral BB.2012.67 du 22 janvier 2013, consid. 1.3). L'atteinte doit par ailleurs revêtir une certaine gravité. À cet égard, la qualification de l'infraction n'est pas déterminante; sont décisifs les effets de celle-ci sur le lésé (ATF 129 IV 216 consid. 1.2.1), lesquels doivent être appréciés de manière objec- tive, et non en fonction de la sensibilité personnelle et subjective de ce der- nier (arrêt du Tribunal fédéral 6B_266/2009 du 30 juin 2009, consid. 1.2.1). L'art. 115 al. 2 CPP ajoute que sont toujours considérées comme des lésés les personnes qui ont qualité pour déposer plainte pénale. Selon le Message CPP, cet alinéa apporte une précision en statuant que les personnes qui ont qualité pour déposer plainte pénale selon l'art. 30 al. 1 CP, en d'autres termes les titulaires des biens juridiques auxquels on a porté atteinte, doivent toujours être considérés comme des lésés (Message CPP, ibidem).</w:t>
      </w:r>
    </w:p>
    <w:p>
      <w:r>
        <w:rPr>
          <w:b/>
        </w:rPr>
        <w:t>E. 1.5</w:t>
      </w:r>
    </w:p>
    <w:p>
      <w:r>
        <w:t>En l'occurrence, le recourant a déposé plainte pour violation du secret de fonction (art. 320 CP), dénonciation calomnieuse (art. 303 CP), calomnie (art. 174 ch. 1 CP) et abus d'autorité (art. 312 CP). Ces dispositions légales protègent ses intérêts privés, de sorte que le recourant est directement lésé et dispose par conséquent de la qualité pour recourir (cf. décision du Tribunal pénal fédéral BB.2013.178 du 26 mars 2014, consid. 1.3.2).</w:t>
      </w:r>
    </w:p>
    <w:p>
      <w:r>
        <w:rPr>
          <w:b/>
        </w:rPr>
        <w:t>E. 1.6</w:t>
      </w:r>
    </w:p>
    <w:p>
      <w:r>
        <w:t>Compte tenu de ce qui précède, il y a lieu d’entrer en matière.</w:t>
      </w:r>
    </w:p>
    <w:p>
      <w:r>
        <w:rPr>
          <w:b/>
        </w:rPr>
        <w:t>E. 2.1</w:t>
      </w:r>
    </w:p>
    <w:p>
      <w:r>
        <w:t>Le litige porte sur la question de savoir si le Procureur fédéral extraordinaire H. a décidé à bon droit de ne pas entrer en matière sur la plainte pénale déposée par A..</w:t>
      </w:r>
    </w:p>
    <w:p>
      <w:r>
        <w:rPr>
          <w:b/>
        </w:rPr>
        <w:t>E. 2.2</w:t>
      </w:r>
    </w:p>
    <w:p>
      <w:r>
        <w:t>Aux termes de l’art. 310 al. 1 let. a CPP, le ministère public rend immédiate- ment une ordonnance de non-entrée en matière s'il ressort de la dénoncia- tion ou du rapport de police que les éléments constitutifs de l'infraction ou les conditions à l'ouverture de l'action pénale ne sont manifestement pas ré- unis.</w:t>
      </w:r>
    </w:p>
    <w:p>
      <w:r>
        <w:rPr>
          <w:b/>
        </w:rPr>
        <w:t>E. 3</w:t>
      </w:r>
    </w:p>
    <w:p>
      <w:r>
        <w:t>Le recourant dénonce tout d’abord une violation de cette disposition légale, en lien avec les art. 174, 303, 312 et 320 CP. Selon lui, G. a commis un abus d'autorité en sollicitant de la banque F. des informations à son sujet; elle aurait aussi violé le secret de fonction, respectivement l'aurait calomnié, en</w:t>
      </w:r>
    </w:p>
    <w:p>
      <w:r>
        <w:t>- 6 -</w:t>
      </w:r>
    </w:p>
    <w:p>
      <w:r>
        <w:t>fournissant à cette banque des détails sur la procédure. Enfin, la saisine du MP-VD constituerait une dénonciation calomnieuse, dès lors que la Procu- reure en cause aurait su, au moment où elle a accompli cette démarche, qu'il ne pouvait pas s'être rendu coupable d'une quelconque infraction.</w:t>
      </w:r>
    </w:p>
    <w:p>
      <w:r>
        <w:rPr>
          <w:b/>
        </w:rPr>
        <w:t>E. 4</w:t>
      </w:r>
    </w:p>
    <w:p>
      <w:r>
        <w:t>Le MP-VD a classé la procédure ouverte contre le recourant au motif que la transaction passée entre le compte bancaire de E. Ltd et celui de l'intéressé l'avait été dans le cadre de l’activité traditionnelle d’avocat pratiquée par ce dernier. Cela étant, l’opération en cause aurait également pu être effectuée par le recourant en tant qu’intermédiaire financier, qualité que celui-ci revê- tait par ailleurs, au su du MPC. Or, dans cette seconde hypothèse, la com- mission d’un défaut de vigilance, au sens de l’art. 305ter CP, ne pouvait pas être exclue dès puisqu'apparemment l'intéressé n'avait pas identifié l'ayant droit économique des fonds en question. C’est précisément pour déterminer dans lequel de ces deux cas de figure on se trouvait en l’espèce que le MPC a transmis la cause aux autorités de poursuite pénale vaudoises. Dans ces conditions, les éléments constitutifs des infractions mentionnées dans la plainte pénale du 18 avril 2013 n'étaient d'emblée pas remplis. En effet, on ne se trouve manifestement pas dans une situation où une personne en ac- cuse une autre ou jette sur elle le soupçons de tenir une conduite contraire à l'honneur alors qu'elle connaît la fausseté de ses allégations (art. 174 al. 1 CP), respectivement dénonce à l'autorité une personne qu'elle savait inno- cente (art. 303 al. 1 CP). Le comportement adopté par G. ne pouvait pas non plus relever de l'abus d'autorité, au sens de l'art. 312 CP, dès lors que le Ministère public a l'obligation d'ouvrir une instruction lorsqu'il existe des soupçons suffisants laissant présumer qu'une infraction a été commise (art. 309 al. let. a CPP) et que tel était bien le cas en l'espèce, comme on vient de le voir. Finalement, la demande par un procureur d'informations ten- dant à clarifier l'arrière-plan économique d'une transaction suspecte ne tombe à l'évidence pas sous le coup de la violation du secret de fonction instituée à l'art. 320 CP. Le premier grief soulevé est donc mal fondé.</w:t>
      </w:r>
    </w:p>
    <w:p>
      <w:r>
        <w:rPr>
          <w:b/>
        </w:rPr>
        <w:t>E. 5</w:t>
      </w:r>
    </w:p>
    <w:p>
      <w:r>
        <w:t>Le recourant se plaint ensuite d’une violation de son droit d’être entendu. Toutefois, de l’aveu même de l’intéressé, l’argumentation développée sur ce point repose intégralement sur la prémisse selon laquelle le Procureur fédé- ral extraordinaire n’était en l’occurrence pas habilité à rendre une ordon- nance de non-entrée en matière. Or, au vu de ce qui précède, celle-ci est erronée. Partant, le second grief soulevé est également mal fondé.</w:t>
      </w:r>
    </w:p>
    <w:p>
      <w:r>
        <w:rPr>
          <w:b/>
        </w:rPr>
        <w:t>E. 6</w:t>
      </w:r>
    </w:p>
    <w:p>
      <w:r>
        <w:t>Compte tenu de ce qui précède, le recours est mal fondé.</w:t>
      </w:r>
    </w:p>
    <w:p>
      <w:r>
        <w:t>- 7 -</w:t>
      </w:r>
    </w:p>
    <w:p>
      <w:r>
        <w:rPr>
          <w:b/>
        </w:rPr>
        <w:t>E. 7</w:t>
      </w:r>
    </w:p>
    <w:p>
      <w:r>
        <w:t>Selon l'art. 428 al. 1 CPP, les frais de la procédure de recours sont mis à la charge des parties dans la mesure où elles ont obtenu gain de cause ou succombé. Le recourant, qui succombe, supportera ainsi les frais de la pré- sente décision, qui se limitent à un émolument fixé, en application de l'art. 8 du règlement du Tribunal pénal fédéral du 31 août 2010 sur les frais, émolu- ments, dépens et indemnités de la procédure pénale fédérale (RFPPF; RS 173.713.162),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