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BB.2017.77 vom 8. Juni 2017</w:t>
      </w:r>
    </w:p>
    <w:p>
      <w:r>
        <w:t>Bundesstrafgericht, 2017-06-08, DE</w:t>
      </w:r>
    </w:p>
    <w:p>
      <w:r>
        <w:rPr>
          <w:b/>
        </w:rPr>
        <w:t xml:space="preserve">Quelle: </w:t>
      </w:r>
      <w:r>
        <w:t>https://mcp.opencaselaw.ch/entscheid/bstger_BB.2017.77</w:t>
      </w:r>
    </w:p>
    <w:p>
      <w:r>
        <w:t>FR: TPF BB.2017.77 du 8 juin 2017</w:t>
      </w:r>
    </w:p>
    <w:p>
      <w:r>
        <w:t>IT: TPF BB.2017.77 del 8 giugno 2017</w:t>
      </w:r>
    </w:p>
    <w:p>
      <w:pPr>
        <w:pStyle w:val="Heading2"/>
      </w:pPr>
      <w:r>
        <w:t>Regeste</w:t>
      </w:r>
    </w:p>
    <w:p>
      <w:r>
        <w:t>Ausstand des erstinstanzlichen Gerichts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abstützt, so entscheidet ohne weiteres Beweisverfahren und endgültig die Beschwerdekammer des Bundesstrafge- richts, wenn die Strafkammer des Bundesstrafgerichts als erstinstanzliches Gericht des Bundes betroffen ist (Art. 59 Abs. 1 lit. b StPO i.V.m. Art. 37 Abs. 1 StBOG; Urteil des Bundesgerichts 1B_157/2017 vom 10. Mai 2017,</w:t>
      </w:r>
    </w:p>
    <w:p>
      <w:r>
        <w:t>- 3 -</w:t>
      </w:r>
    </w:p>
    <w:p>
      <w:r>
        <w:t>E. 2.2). Der Entscheid ergeht schriftlich und ist zu begründen (Art. 59 Abs. 2 StPO). Bis zum Entscheid übt die betroffene Person ihr Amt weiter aus (Art. 59 Abs. 3 StPO).</w:t>
      </w:r>
    </w:p>
    <w:p>
      <w:r>
        <w:rPr>
          <w:b/>
        </w:rPr>
        <w:t>E. 1.2</w:t>
      </w:r>
    </w:p>
    <w:p>
      <w:r>
        <w:t>Die Gesuchstellerin reagierte mit ihrem Gesuch unmittelbar nach Erhalt der Mitteilung betreffend Zusammensetzung des Spruchkörpers vom 13. Ap- ril 2017 (act. 1.1) und begründet dieses mit dem angeblichen Anschein der Befangenheit des Gesuchsgegners. Damit macht sie einen Ausstandsgrund nach Art. 56 lit. f StPO geltend. Auf ihr Ausstandsbegehren ist daher einzu- treten.</w:t>
      </w:r>
    </w:p>
    <w:p>
      <w:r>
        <w:rPr>
          <w:b/>
        </w:rPr>
        <w:t>E. 2.1</w:t>
      </w:r>
    </w:p>
    <w:p>
      <w:r>
        <w:t>Die Gesuchstellerin bringt in erster Linie vor, zwischen dem vor seiner Er- nennung zum Bundesstrafrichter bei der Bundesanwaltschaft tätigen Ge- suchsgegner und der die Anklage vertretenden Staatsanwältin habe bis vor kurzem eine langjährige und enge berufliche Beziehung bestanden. Dieser sei unter anderem ihr Vorgesetzter gewesen. Weiter sei der Gesuchsgegner für die Bundesanwaltschaft im anklagerelevanten Fachbereich tätig gewe- sen und es könne daher nicht ausgeschlossen werden, dass er bis vor kur- zem massgeblich an der Praxis der Bundesanwaltschaft zur Handhabung güterkontrollrechtlicher Fälle mitgewirkt habe und nun als urteilender Richter über diese Praxis urteilen müsse.</w:t>
      </w:r>
    </w:p>
    <w:p>
      <w:r>
        <w:rPr>
          <w:b/>
        </w:rPr>
        <w:t>E. 2.2</w:t>
      </w:r>
    </w:p>
    <w:p>
      <w:r>
        <w:t>Art. 56 StPO zählt verschiedene Gründe auf, die zum Ausstand von in einer Strafbehörde tätigen Personen führen. Nach Art. 56 lit. f StPO trifft dies na- mentlich aus anderen (als den in lit. a–e der gleichen Bestimmung genann- ten) Gründen zu, insbesondere wenn die in der Strafverfolgung tätige Person wegen Freundschaft oder Feindschaft mit einer Partei oder deren Rechts- beistand befangen sein könnte. Art. 56 StPO konkretisiert die Verfassungs- bestimmung von Art. 30 Abs. 1 BV sowie Art. 6 Abs. 1 EMRK. Danach hat jede Person Anspruch darauf, dass ihre Sache von einem unparteiischen, unvoreingenommenen und unbefangenen Richter unter Einschluss weiterer am Entscheid wesentlich beteiligter Gerichtspersonen (insbesondere Ge- richtsschreibern) ohne Einwirken sachfremder Umstände entschieden wird. Die Garantie des verfassungsmässigen Richters soll zu der für einen korrek- 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 mögen. Solche Umstände können entweder in einem bestimmten Verhalten der betreffenden Gerichtsperson oder in gewissen äusseren Gegebenheiten</w:t>
      </w:r>
    </w:p>
    <w:p>
      <w:r>
        <w:t>- 4 -</w:t>
      </w:r>
    </w:p>
    <w:p>
      <w:r>
        <w:t>funktioneller und organisatorischer Natur begründet sein (BGE 138 I 425 E. 4.2.1 S. 428 m.w.H.). Bei der Beurteilung solcher Gegebenheiten ist nicht auf das subjektive Empfinden einer Partei abzustellen. Das Misstrauen in die Unvoreingenommenheit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befangen ist (siehe u. a. BGE 141 IV 178 E. 3.2.1; 138 IV 142 E. 2.1 S. 144 f.; BGE 1B_409/2016 vom 3. Januar 2017, E. 3.2; TPF 2012 37 E. 2.2 S. 38 f.). Bei der Anwendung von Art. 56 lit. f StPO ist entscheidendes Kriterium, ob bei objektiver Betrachtungsweise der Ausgang des Verfahrens noch als of- fen erscheint (BGE 138 I 425 E. 4.2.1 S. 429; TPF 2012 37 E. 2.2 S. 39).</w:t>
      </w:r>
    </w:p>
    <w:p>
      <w:r>
        <w:t>Die Rechtsprechung hat sich verschiedentlich mit der Situation befasst, bei der ein ehemaliger Staatsanwalt später als Richter tätig wurde (vgl. im Ein- zelnen KELLER, Kommentar zur Schweizerischen Strafprozessordnung [StPO], 2. Aufl., Zürich/Basel/Genf 2014, Art. 56 StPO N. 17 m.w.H.). Auch die Beschwerdekammer hatte sich bereits mit der Frage nach dem Ausstand einer Bundesstrafrichterin zu befassen, welche zuvor in derselben Abteilung der Bundesanwaltschaft wie die Vertreterin der Anklage tätig war. Sie kam dabei zum Schluss, die berufliche Beziehung genüge nicht für die Annahme eines Ausstandsgrundes und der blosse Umstand der früheren Zusammen- arbeit vermöge für sich alleine keine Voreingenommenheit zu begründen (Beschluss des Bundesstrafgerichts BB.2012.132 vom 18. September 2012, E. 2.2 m.w.H.). Eine Einschränkung erfährt diese Regel allerdings insofern, als der betroffene Richter unter dem Titel der Vorbefassung abgelehnt wer- den kann, wenn er früher in der Staatsanwaltschaft die Stellung des wei- sungsbefugten Vorgesetzten innehatte. Dies hätte es ihm ermöglicht, Ein- fluss auf das Verfahren auszuüben, unabhängig, ob er dies konkret auch tatsächlich getan hat (vgl. KELLER, a.a.O.).</w:t>
      </w:r>
    </w:p>
    <w:p>
      <w:r>
        <w:rPr>
          <w:b/>
        </w:rPr>
        <w:t>E. 2.3</w:t>
      </w:r>
    </w:p>
    <w:p>
      <w:r>
        <w:t>Nach dem Gesagten lässt die frühere berufliche Beziehung zwischen dem Gesuchsgegner und der Vertreterin der Anklage alleine keine Zweifel an der Unvoreingenommenheit des Gesuchsgegners aufkommen. Entgegen den Ausführungen der Gesuchstellerin bestand auch kein Subordinationsverhält- nis zwischen dem Gesuchsgegner als Staatsanwalt des Bundes und der Ver- treterin der Anklage als Stellvertretende Staatsanwältin des Bundes (bis zu deren Beförderung zur Staatsanwältin des Bundes). Gemeinsamer Vorge- setzter der beiden war der damalige Leitende Staatsanwalt des Bundes als Abteilungsleiter (vgl. Art. 11, 13 Abs. 1 lit. b und 14 lit. a StBOG). Ein solches Subordinationsverhältnis ergibt sich auch nicht aus dem von der Gesuchstel- lerin angerufenen Art. 13 des Reglements vom 11. Dezember 2012 über die</w:t>
      </w:r>
    </w:p>
    <w:p>
      <w:r>
        <w:t>- 5 -</w:t>
      </w:r>
    </w:p>
    <w:p>
      <w:r>
        <w:t>Organisation und Verwaltung der Bundesanwaltschaft (SR 173.712.22). Weiter ist festzuhalten, dass der Gesuchsgegner unter Berücksichtigung von dessen Ferienbezug seinen letzten Arbeitstag bei der Bundesanwaltschaft hatte, bevor das vorliegend zur Diskussion stehende Verfahren überhaupt eröffnet wurde (vgl. act. 2, Ziff. 6). Somit ergeben sich auch keine Anhalts- punkte hinsichtlich einer konkreten Vorbefassung des Gesuchsgegners.</w:t>
      </w:r>
    </w:p>
    <w:p>
      <w:r>
        <w:t>Sofern die Gesuchstellerin schliesslich geltend macht (act. 1), es könne nicht ausgeschlossen werden, dass der Gesuchsgegner bis vor kurzem massge- blich an der Praxis der Bundesanwaltschaft zur Handhabung güterkontroll- rechtlicher Fälle mitgewirkt habe und nun als urteilender Richter über diese Praxis urteilen müsse, vermögen deren Ausführungen auch keinen Aus- standsgrund glaubhaft zu machen (Art. 58 Abs. 1 StPO). Erst im Rahmen ihrer Replik konkretisiert die Gesuchstellerin die erwähnte Praxis dahinge- hend, die Bundesanwaltschaft erlasse in güterkontrollrechtlichen Fällen Strafbefehle wegen fahrlässig begangener Widerhandlung gegen das GKG, ohne sich auf eine konkrete Sorgfaltspflicht stützen oder eine solche auch nur schlüssig behaupten zu können (act. 4, Rz. 6). Bei der – soweit erkenn- bar – einzigen je vom Gesuchsgegner als früherem Staatsanwalt des Bun- des vertretenen Anklage in diesem Bereich war Gegenstand jedoch eine (versuchte) vorsätzliche Tatbegehung (siehe das von der Gesuchstellerin angerufene Urteil des Bundestrafgerichts SK.2015.52 vom 1. April 2016). Es fehlt damit offensichtlich an einem Bezug zwischen diesem einzelnen Fall und der angeblichen, von der Gesuchstellerin kritisierten Praxis.</w:t>
      </w:r>
    </w:p>
    <w:p>
      <w:r>
        <w:rPr>
          <w:b/>
        </w:rPr>
        <w:t>E. 3</w:t>
      </w:r>
    </w:p>
    <w:p>
      <w:r>
        <w:t>Nach dem Gesagten erweist sich das Gesuch als unbegründet und ist abzu- weisen.</w:t>
      </w:r>
    </w:p>
    <w:p>
      <w:r>
        <w:rPr>
          <w:b/>
        </w:rPr>
        <w:t>E. 4</w:t>
      </w:r>
    </w:p>
    <w:p>
      <w:r>
        <w:t>Bei diesem Ausgang des Verfahrens hat die Gesuchstellerin dessen Kosten zu tragen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