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BB.2017.68 vom 12. April 2017</w:t>
      </w:r>
    </w:p>
    <w:p>
      <w:r>
        <w:t>Bundesstrafgericht, 2017-04-12, DE</w:t>
      </w:r>
    </w:p>
    <w:p>
      <w:r>
        <w:rPr>
          <w:b/>
        </w:rPr>
        <w:t xml:space="preserve">Quelle: </w:t>
      </w:r>
      <w:r>
        <w:t>https://mcp.opencaselaw.ch/entscheid/bstger_BB.2017.68</w:t>
      </w:r>
    </w:p>
    <w:p>
      <w:r>
        <w:t>FR: TPF BB.2017.68 du 12 avril 2017</w:t>
      </w:r>
    </w:p>
    <w:p>
      <w:r>
        <w:t>IT: TPF BB.2017.68 del 12 aprile 2017</w:t>
      </w:r>
    </w:p>
    <w:p>
      <w:pPr>
        <w:pStyle w:val="Heading2"/>
      </w:pPr>
      <w:r>
        <w:t>Regeste</w:t>
      </w:r>
    </w:p>
    <w:p>
      <w:r>
        <w:t>Verfahrenshandlung der Bundesanwaltschaft (Art. 20 Abs. 1 lit. b i.V.m. Art. 393 Abs. 1 lit. a StPO). Aufschiebende Wirkung (Art. 387 StPO). Vorsorgliche Massnahme (Art. 388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vom 19. März 2010 über die Organisation der Strafbehörden des Bundes [Strafbehördenorganisationsgesetz, StBOG; SR 173.71]). Die Be- schwerde ist nach Art. 394 StPO nicht zulässig, wenn die Berufung möglich ist (lit. a) sowie gegen die Ablehnung von Beweisanträgen durch die Bun- desanwaltschaft, wenn der Antrag ohne Rechtsnachteil vor dem erstinstanz- lichen Gericht wiederholt werden kann (lit. b).</w:t>
      </w:r>
    </w:p>
    <w:p>
      <w:r>
        <w:rPr>
          <w:b/>
        </w:rPr>
        <w:t>E. 1.2</w:t>
      </w:r>
    </w:p>
    <w:p>
      <w:r>
        <w:t>Das Strafbefehlsverfahren ist in den Art. 352–356 StPO geregelt. Der Straf- befehl stellt im Grunde einen Vorschlag zur aussergerichtlichen Erledigung des Straffalles dar. Einzig möglicher Rechtsbehelf ist die Einsprache. Sie ist kein Rechtsmittel, sondern löst das gerichtliche Verfahren aus, in dem über die Berechtigung der im Strafbefehl enthaltenen Deliktsvorwürfe entschieden wird (Botschaft des Bundesrates vom 21. Dezember 2005 zur Vereinheitli- chung des Strafprozessrechts, BBl 2006 1085, S. 1291). Auch ohne dass</w:t>
      </w:r>
    </w:p>
    <w:p>
      <w:r>
        <w:t>- 5 -</w:t>
      </w:r>
    </w:p>
    <w:p>
      <w:r>
        <w:t>der Gesetzestext dies ausdrücklich erwähnt, ist gegen einen Strafbefehl keine Beschwerde zulässig. Dies ergibt sich aus dem anderen Rechtsmittel- weg in den Art. 354 f. StPO sowie aufgrund der Rechtsnatur des Strafbefehls als Urteilsvorschlag (KELLER, Kommentar zur Schweizerischen Strafpro- zessordnung, 2. Aufl. Zürich 2014, Art. 393 N. 18). Für eine Beschwerde ge- gen den Strafbefehl bleibt deshalb kein Raum (GUIDON, Basler Kommentar,</w:t>
      </w:r>
    </w:p>
    <w:p>
      <w:r>
        <w:rPr>
          <w:b/>
        </w:rPr>
        <w:t>E. 1.3</w:t>
      </w:r>
    </w:p>
    <w:p>
      <w:r>
        <w:t>Vorliegende Beschwerde richtet sich gegen den Entscheid der BA, den Straf- befehl gegenüber der Gesellschaft B. zu erlassen und zu eröffnen, wörtlich "contre la décision du Ministère public de la Confédération de rendre et de notifier une ordonnance pénale à l'encontre de B. SA dans la procédure SV.15.0584, ainsi que contre dite ordonnance pénale". Überprüft werden soll die Angemessenheit dieser Entscheidung (act. 1 S. 2). Beantragt ist unter anderem die Aufhebung des Strafbefehls (Anträge Ziff. III). Gegen den Strafbefehl steht ausschliesslich der Rechtsbehelf der Einspra- che zur Verfügung; eine doppelspurige Überprüfungsmöglichkeit ist nicht im Sinne der Rechtsmittelordnung. Damit fehlt es der Beschwerde an einem gültigen Anfechtungsobjekt, weshalb auf diese nicht einzutreten ist. Die Be- schwerde ist offensichtlich unzulässig. Ob es auch an weiteren Eintretens- voraussetzungen fehlt, kann damit offenbleiben.</w:t>
      </w:r>
    </w:p>
    <w:p>
      <w:r>
        <w:rPr>
          <w:b/>
        </w:rPr>
        <w:t>E. 2</w:t>
      </w:r>
    </w:p>
    <w:p>
      <w:r>
        <w:t>Ist auf die Beschwerde nicht einzutreten, so sind die Nebenverfahren BP.2017.24-25 (Suspensiveffekt, vorsorgliche Massnahmen) gegenstands- los geworden und daher entsprechend abzuschreiben.</w:t>
      </w:r>
    </w:p>
    <w:p>
      <w:r>
        <w:rPr>
          <w:b/>
        </w:rPr>
        <w:t>E. 3</w:t>
      </w:r>
    </w:p>
    <w:p>
      <w:r>
        <w:t>Bei diesem Ausgang des Verfahrens hat der Beschwerdeführer die Gerichts- kosten zu tragen (vgl. Art. 428 Abs. 1 StPO). Die Gerichtsgebühr ist auf Fr. 1'000.-- festzusetzen (vgl. Art. 73 StBOG i.V.m. Art. 5 und 8 Abs. 1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