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BB.2017.65 vom 8. September 2017</w:t>
      </w:r>
    </w:p>
    <w:p>
      <w:r>
        <w:t>Bundesstrafgericht, 2017-09-08, DE</w:t>
      </w:r>
    </w:p>
    <w:p>
      <w:r>
        <w:rPr>
          <w:b/>
        </w:rPr>
        <w:t xml:space="preserve">Quelle: </w:t>
      </w:r>
      <w:r>
        <w:t>https://mcp.opencaselaw.ch/entscheid/bstger_BB.2017.65</w:t>
      </w:r>
    </w:p>
    <w:p>
      <w:r>
        <w:t>FR: TPF BB.2017.65 du 8 septembre 2017</w:t>
      </w:r>
    </w:p>
    <w:p>
      <w:r>
        <w:t>IT: TPF BB.2017.65 del 8 settembre 2017</w:t>
      </w:r>
    </w:p>
    <w:p>
      <w:pPr>
        <w:pStyle w:val="Heading2"/>
      </w:pPr>
      <w:r>
        <w:t>Regeste</w:t>
      </w:r>
    </w:p>
    <w:p>
      <w:r>
        <w:t>Aktenführung (Art. 100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Die Beschwerde gegen schriftlich oder mündlich eröffnete Entscheide ist innert zehn Tagen schriftlich und be- gründet einzureichen (Art. 396 Abs. 1 StPO). Mit ihr gerügt werden können gemäss Art. 393 Abs. 2 StPO Rechtsverletzungen, einschliesslich Über- schreitung und Missbrauch des Ermessens, Rechtsverweigerung und Rechtsverzögerung (lit. a), die unvollständige oder unrichtige Feststellung des Sachverhalts (lit. b) sowie die Unangemessenheit (lit. c).</w:t>
      </w:r>
    </w:p>
    <w:p>
      <w:r>
        <w:rPr>
          <w:b/>
        </w:rPr>
        <w:t>E. 1.2.1</w:t>
      </w:r>
    </w:p>
    <w:p>
      <w:r>
        <w:t>Zur Beschwerde berechtigt ist jede Partei oder jeder andere Verfahrensbe- teiligte, welche oder welcher ein rechtlich geschütztes Interesse an der Auf- hebung oder Änderung des angefochtenen Entscheides haben (Art. 382 Abs. 1 StPO; Botschaft vom 21. Dezember 2005 zur Vereinheitlichung des Strafprozessrechts, BBl 2006 S. 1308). Andere Verfahrensbeteiligte sind: a. die geschädigte Person; b. die Person, die Anzeige erstattet; c. die Zeugin oder der Zeuge; d. die Auskunftsperson; e. die oder der Sachverständige; f. die oder der durch Verfahrenshandlungen beschwerte Dritte (Art. 105 Abs. 1 StPO). Werden Verfahrensbeteiligte in ihren Rechten unmittelbar be- troffen, so stehen ihnen die zur Wahrung ihrer Interessen erforderlichen Ver- fahrensrechte einer Partei zu (Art. 105 Abs. 2 StPO). Ein bloss mittelbares oder faktisches Betroffensein genügt nicht für die Einräumung von Partei- rechten (BGE 137 IV 280 E. 2.2.1 S. 283). Vielmehr muss die betreffende</w:t>
      </w:r>
    </w:p>
    <w:p>
      <w:r>
        <w:t>- 4 -</w:t>
      </w:r>
    </w:p>
    <w:p>
      <w:r>
        <w:t>Person glaubhaft machen, dass sie durch die betreffende Verfahrenshand- lung selbst in ihren rechtlich geschützten Interessen tangiert ist (vgl. hierzu das Urteil des Bundesgerichts 1B_238/2011 vom 13. September 2011, E. 2.2.1, mit Hinweisen; siehe auch den Beschluss des Bundesstrafgerichts BB.2011.31 vom 20. Mai 2011, E. 1.3). Unmittelbare Betroffenheit liegt nach der Doktrin etwa vor, wenn in die Grundrechte oder Grundfreiheiten einge- griffen wird, eine Schweigepflicht auferlegt oder Zwangsmassnahmen ange- ordnet werden (s. Urteil des Bundesgerichts 6B_654/2016 vom 16. Dezem- ber 2016, E. 3.6, mit Hinweisen).</w:t>
      </w:r>
    </w:p>
    <w:p>
      <w:r>
        <w:rPr>
          <w:b/>
        </w:rPr>
        <w:t>E. 1.2.2</w:t>
      </w:r>
    </w:p>
    <w:p>
      <w:r>
        <w:t>Die Beschwerdeführerin bringt vor, die Aufnahme ihrer Korrespondenz mit der Beschwerdegegnerin ins Aktendossier falle in den Schutzbereich der Medienfreiheit. Das erforderliche schutzwürdige Interesse der Beschwerde- führerin ergebe sich somit ohne Weiteres aus dem Eingriff in die durch die Bundesverfassung und die EMRK geschützte Medienfreiheit (act. 1 S. 2). Die Beschwerdegegnerin schweigt sich zur Legitimationsfrage aus.</w:t>
      </w:r>
    </w:p>
    <w:p>
      <w:r>
        <w:rPr>
          <w:b/>
        </w:rPr>
        <w:t>E. 1.2.3</w:t>
      </w:r>
    </w:p>
    <w:p>
      <w:r>
        <w:t>Die Beschwerdeführerin ist als Journalistin bei […] Trägerin der Medienfrei- heit (dazu im Einzelnen nachfolgend) und der angefochtene Entscheid be- trifft ihre journalistische Tätigkeit. Wie aus den nachstehenden Erwägungen hervorgehen wird, ist die Beschwerdeführerin durch den angefochtenen Ent- scheid in ihren Rechten unmittelbar betroffen. Sie stellt daher eine durch Ver- fahrenshandlungen beschwerte Dritte und damit eine am Strafverfahren Be- teiligte im Sinne von Art. 105 Abs. 1 lit. f StPO dar. Sie hat ein rechtlich ge- schütztes Interesse an der Aufhebung des angefochtenen Entscheides aus- reichend dargetan. Ihre Beschwerdelegitimation ist dementsprechend zu be- jahen und es ist auf die im Übrigen frist- und formgerechte Beschwerde ein- zutreten.</w:t>
      </w:r>
    </w:p>
    <w:p>
      <w:r>
        <w:rPr>
          <w:b/>
        </w:rPr>
        <w:t>E. 2.1</w:t>
      </w:r>
    </w:p>
    <w:p>
      <w:r>
        <w:t>Die Beschwerdeführerin bringt vor, sie sei Journalistin, weshalb sie sich auf die Medienfreiheit (Art. 17 BV, Art. 10 EMRK) und den darin enthaltenen Schutz des Redaktionsgeheimnisses (Art. 17 Abs. 3 BV, Art. 10 EMRK) be- rufen könne. Als Journalistin sei sie darauf angewiesen, unter Wahrung des Redaktionsgeheimnisses recherchieren zu können (act. 1 S. 5 f.). Die Ablage von Medienanfragen im Aktendossier stelle insgesamt einen schweren Ein- griff in die Medienfreiheit der Beschwerdeführerin dar, da sie den Kern des Redaktionsgeheimnisses verletze und ihre Quellen gefährde (act. 1 S. 7). Würden ihre Anfragen im Wortlaut im Aktendossier der Beschwerdegegnerin abgelegt, würden die Parteien mitunter Rückschlüsse auf Quellen ziehen können. Zudem könnten sich für sie und ihre Quellen Einschränkungen der Reisemöglichkeiten, ja sogar Bedrohungen an Leib und Leben ergeben,</w:t>
      </w:r>
    </w:p>
    <w:p>
      <w:r>
        <w:t>- 5 -</w:t>
      </w:r>
    </w:p>
    <w:p>
      <w:r>
        <w:t>wenn von den Recherchen beschuldigte Personen erfahren würden, die aus Ländern stammen, in denen ein autoritäres Regime herrsche. Dieses Risiko sei im konkreten Fall gegeben: B. sei ein ehemaliger Vertreter der C.-Be- hörde der Ukraine und verfüge immer noch über gute Kontakte zu ukraini- schen Oligarchen und Machtträgern. Die Ablage der Medienanfragen im Ak- tendossier müsse im konkreten Fall nicht zu konkreten Gefahren für die Jour- nalisten oder ihre Quellen führen. Die Tatsache alleine, dass eine solche Gefährdung möglich sei, erzeuge einen „chilling effect“, schrecke Medien- schaffende und Quellen ab und könne die Recherchen der Journalistin ein- schränken, weil sie nicht mehr frei mit der Bundesanwaltschaft kommunizie- ren könne (act. 1 S. 6). Weiter beruft sich die Beschwerdeführerin auf Art. 27 BV. Sie habe ein Recht auf ungehinderte Ausübung ihres Berufs als Teil der grundrechtlich veran- kerten Wirtschaftsfreiheit, welche mit der vorliegenden Massnahme eben- falls unrechtmässig eingeschränkt sei. Überdies beruft sich die Beschwerdeführerin auf ihren verfassungsrechtli- chen Anspruch auf Schutz ihrer Privatsphäre und auf Schutz vor Missbrauch ihrer persönlichen Daten (Art. 13 BV). Eine Aufnahme in die Akten komme einer unverhältnismässigen Speicherung und damit Bearbeitung der Perso- nendaten der Beschwerdeführerin gleich und verstosse dadurch gegen Art. 13 BV, Art. 8 Abs. 1 EMRK und Art. 12 Abs. 2 DSG. Die Ausnahmen für einen Eingriff in die vorgenannten Rechte würden aufgrund eines fehlenden überwiegenden öffentlichen Interesses allesamt keine Anwendung finden. Art. 100 Abs. 1 StPO stelle nicht eine genügende gesetzliche Grundlage dar, um auch Medienanfragen im Aktendossier aufzuführen (act. 1 S. 7). Die Beschwerdeführerin macht weiter geltend, der Journalist werde nicht in- formiert, dass und in welchem Umfang seine Anfragen im Aktendossier Ein- gang finden würden. Der Journalist habe somit keine Möglichkeit zu verlan- gen, dass sein Name und weitere Passagen seiner Anfrage, die Rück- schlüsse auf seine Quellen erlauben, anonymisiert oder eingeschwärzt wür- den. Es bestünden damit keine wirksamen Schutzmechanismen gegen die Kompromittierung des Quellenschutzes, die mit der Ablage von Medienan- fragen in Aktendossiers verbunden sei (act. 1 S. 7). In einem nächsten Punkt wendet die Beschwerdeführerin ein, der Wortlaut der Anfragen sei „in der Regel“ nicht notwendig um zu beurteilen, ob die Be- schwerdegegnerin durch ihre Kommunikation allenfalls die Unschuldsvermu- tung verletze. Ein Zuzug der Medienanfrage sei – wenn überhaupt – nur in</w:t>
      </w:r>
    </w:p>
    <w:p>
      <w:r>
        <w:t>- 6 -</w:t>
      </w:r>
    </w:p>
    <w:p>
      <w:r>
        <w:t>Ausnahmefällen nötig, wenn allenfalls die Tragweite der Antwort der Be- schwerdegegnerin aus der Antwort selbst nicht ersichtlich sei. Es sei aber unverhältnismässig, den Ausnahmefall zur Regel zu machen (act. 1 S. 8).</w:t>
      </w:r>
    </w:p>
    <w:p>
      <w:r>
        <w:rPr>
          <w:b/>
        </w:rPr>
        <w:t>E. 2.2.1</w:t>
      </w:r>
    </w:p>
    <w:p>
      <w:r>
        <w:t>Die Medienfreiheit gemäss Art. 17 BV gewährleistet die Freiheit von Presse, Radio und Fernsehen sowie anderer Formen der öffentlichen fernmeldetech- nischen Verbreitung von Darbietungen und Informationen (Abs. 1), verbietet die Zensur (Abs. 2) und schützt das Redaktionsgeheimnis (Abs. 3). Normativer Kern der Medienfreiheit ist die Sicherung des ungehinderten Nachrichtenflusses und des freien Meinungsaustauschs. Geschützt ist die Recherchetätigkeit der Journalisten zur Herstellung von Medienerzeugnis- sen und zu deren Verbreitung in der Öffentlichkeit (BGE 137 I 209 E. 4.2 S. 211 f.). Art. 10 EMRK räumt jedermann Anspruch auf freie Meinungs- äusserung ein und schliesst die Freiheit der Meinung und die Freiheit zum Empfang und zur Mitteilung von Nachrichten oder Ideen ohne Eingriffe von Behörden ein. Art. 10 EMRK schützt die Medienfreiheit nicht ausdrücklich, sondern nur als Bestandteil der allgemeinen Mitteilungsfreiheit (JOCHEN ABR. FROWEIN/WOLFGANG PEUKERT, EMRK-Kommentar, 3. vollständig neu bear- beitete Aufl., Kehl am Rhein 2009, S. 349 N. 15; Christoph Grabenwarter/Ka- tharina Pabel, Europäische Menschenrechtskonvention, Ein Studienbuch,</w:t>
      </w:r>
    </w:p>
    <w:p>
      <w:r>
        <w:rPr>
          <w:b/>
        </w:rPr>
        <w:t>E. 2.2.2</w:t>
      </w:r>
    </w:p>
    <w:p>
      <w:r>
        <w:t>Unter dem Titel der Medienfreiheit gewährleistet Art. 17 Abs. 3 BV in gene- reller Weise das Redaktionsgeheimnis. Das Redaktionsgeheimnis schützt die Medienschaffenden vor Offenlegung ihrer Informationsquellen und schirmt darüber hinaus die journalistische Arbeit vor staatlicher Überwa- chung ab (ZELLER/KIENER, a.a.O., Art. 17 N. 44). Ein entsprechender Schutz journalistischer Quellen leitet sich zudem aus Art. 10 Ziff. 1 EMRK ab (vgl. zum Ganzen BGE 132 I 181 E. 2 S. 184, mit Hinweis auf Urteil EGMR Good- win gegen Vereinigtes Königsreich, Recueil CourEDH 1996-II S. 483). Diese Gewährleistungen erlauben den für eine demokratische Auseinanderset- zung erforderlichen Informationsfluss. Das Fehlen eines solchen Schutzes würde es den Medienschaffenden erschweren, zu den erforderlichen Infor- mationen zu gelangen, welche ihnen erst erlauben, die in einer demokrati- schen Gesellschaft unentbehrliche Wächterfunktion wahrzunehmen. Wie vorstehend ausgeführt, sind diese Garantien indes nicht absolut. Sie können nach den Kriterien von Art. 36 BV und Art. 10 Ziff. 2 EMRK unter Beachtung der Bedeutung des Quellenschutzes in einem demokratischen Rechtsstaat eingeschränkt werden.</w:t>
      </w:r>
    </w:p>
    <w:p>
      <w:r>
        <w:t>- 8 -</w:t>
      </w:r>
    </w:p>
    <w:p>
      <w:r>
        <w:t>Vom örtlichen Schutzbereich des Redaktionsgeheimnisses sind die in den Redaktionen sich befindenden inhaltlichen Informationen, die Identität von Quellen sowie Informationen über die Arbeitsweise der Redaktionen erfasst. Der räumliche Geltungsbereich erstreckt sich auf die Räume der Redaktio- nen sowie andere Räumlichkeiten, die als Arbeitsplätze benutzt werden, ebenso wie mobile Arbeitsgeräte und Speichermedien, auf denen dem Re- daktionsgeheimnis unterstehende Informationen gespeichert sind (STEPHAN C. BRUNNER/HERBERT BURKERT, in St. Galler Kommentar Bundesverfas- sung, 3. Aufl., Zürich/St. Gallen, Art. 17 N. 64 unter Hinweis auf DENISE SCHMOHL, Der Schutz des Redaktionsgeheimnisses in der Schweiz, Zü- rich/Basel/Genf 2013, S. 103 ff.).</w:t>
      </w:r>
    </w:p>
    <w:p>
      <w:r>
        <w:rPr>
          <w:b/>
        </w:rPr>
        <w:t>E. 2.2.3</w:t>
      </w:r>
    </w:p>
    <w:p>
      <w:r>
        <w:t>Kernstück des Redaktionsgeheimnisses ist der Quellenschutz. Medienschaf- fende sind davor geschützt, ihre Quellen und die von ihnen erhaltenen Infor- mationen gegenüber staatlichen Behörden offenlegen zu müssen (ZEL- LER/KIENER, a.a.O., Art. 17 N. 48). Der Quellenschutz für Medienschaffende, wird – materiell übereinstimmend – sowohl von Art. 28a StGB als auch von Art. 172 StPO geregelt. Nach dieser Regelung dürfen gegen Journalisten, die das Zeugnis über den Inhalt und die Quellen ihrer Informationen verwei- gern, grundsätzlich weder Strafen noch zwangsprozessuale Massnahmen verhängt werden (Art. 28a Abs. 1 StGB, Art. 172 Abs. 1 StPO). Das Aussa- geverweigerungsrecht gilt jedoch dann ausnahmsweise nicht, wenn das Zeugnis erforderlich ist, um eine Person aus einer unmittelbaren Gefahr für Leib und Leben zu retten (Art. 28a Abs. 2 lit. a StGB, Art. 172 Abs. 2 lit. a StPO) oder wenn ohne das Zeugnis eine der in Art. 28a Abs. 2 lit. b StGB und Art. 172 Abs. 2 lit. b StPO aufgezählten, besonders schwerwiegenden Straftaten nicht aufgeklärt oder der Täter nicht ergriffen werden kann. Der Quellenschutz umfasst den Schutz des anonymen Autors, des anony- men Informanten und des Informationsinhalts. Der Schutz der Identität des Autors erlaubt die Geheimhaltung seines Namens und weiterer (auch bloss mittelbar) zu seiner Identifizierung führender Angaben. Neben dem Recht zur anonymen Verfasserschaft enthält Art. 28a StGB auch den Schutz der Quelle der Information (nach FRANZ ZELLER „das eigentliche Herzstück des Redaktionsgeheimnisses“ in ZELLER, Basler Kommentar StGB I, 3. Aufl., 2013, Art. 28a, N. 47). Das Recht zum Verschweigen der Quelle einer Infor- mation bedeutet, dass die Identität informierender Personen vor dem Zugriff der Strafverfolgungsbehörden geschützt werden kann. Sodann gewährleis- tet Art. 28a StGB auch Schutz vor behördlichem Zugriff auf den Inhalt der den Medien vorliegenden Informationen. Es schützt damit zum Beispiel auch die Angabe, unter welchen Umständen ein Medium zu einer bestimmten In-</w:t>
      </w:r>
    </w:p>
    <w:p>
      <w:r>
        <w:t>- 9 -</w:t>
      </w:r>
    </w:p>
    <w:p>
      <w:r>
        <w:t>formation gekommen ist. Zum geschützten Inhalt gehört zudem das von Me- dienschaffenden selbst recherchierte Material (s. zum Ganzen ZELLER, a.a.O., N. 45 ff.).</w:t>
      </w:r>
    </w:p>
    <w:p>
      <w:r>
        <w:t>Die Schutzwirkung von Art. 17 Abs. 3 BV geht grundsätzlich nicht weiter als diejenige des strafrechtlichen Zeugnis- und Editionsverweigerungsrechts. Die verfassungsrechtliche Garantie des Redaktionsgeheimnisses be- schränkt sich aber nicht auf das Strafrecht, sondern umfasst alle Rechtsbe- reiche (BRUNNER/ BURKERT, a.a.O., Art. 17 N. 67 unter Hinweis auf SCHMOHL, a.a.O., S. 115 f. und 104).</w:t>
      </w:r>
    </w:p>
    <w:p>
      <w:r>
        <w:rPr>
          <w:b/>
        </w:rPr>
        <w:t>E. 2.3.1</w:t>
      </w:r>
    </w:p>
    <w:p>
      <w:r>
        <w:t>Zunächst ist zu prüfen, ob der angefochtene Entscheid der Beschwerdegeg- nerin einen Eingriff in das Redaktionsgeheimnis bzw. eine Durchbrechung des Quellenschutzes darstellt, wie dies die Beschwerdeführerin geltend macht.</w:t>
      </w:r>
    </w:p>
    <w:p>
      <w:r>
        <w:rPr>
          <w:b/>
        </w:rPr>
        <w:t>E. 2.3.2</w:t>
      </w:r>
    </w:p>
    <w:p>
      <w:r>
        <w:t>Wenn der angefochtene Entscheid anordnet, dass die Korrespondenz der Beschwerdeführerin mit der Beschwerdegegnerin in Nachachtung der Be- schlüsse der Beschwerdekammer BB.2015.128 vom 28. April 2016 und BB.2016.270 vom 19. Dezember 2016 bei den Akten verbleibt, wird damit die Beschwerdeführerin nicht gezwungen, der Beschwerdegegnerin die Identität der Verfasserschaft, ihre allfälligen Quellen oder den Inhalt der ihr vorliegenden Informationen preiszugeben. Vielmehr legte die Beschwerde- führerin selber zuvor in ihrer Korrespondenz mit der Beschwerdegegnerin dieser freiwillig unter dem Quellenschutz stehende Informationen offen. Was ihre Informationsquellen anbelangt, machte die Beschwerdeführerin im Üb- rigen nicht geltend und es geht auch nicht aus den Akten hervor, dass sie jene in ihren Anfragen der Beschwerdegegnerin gegenüber offengelegt hätte. Selbst wenn die Beschwerdeführerin in ihren Anfragen insbesondere ihre Quellen exponiert haben sollte, hätte sie dies aus freien Stücken getan. Hat die Beschwerdeführerin selber gegenüber der Strafverfolgungsbehörde ungezwungen die unter dem Quellenschutz stehenden Informationen preis- gegeben, hat sie diesbezüglich ihren Schutz vor behördlichem Zugriff grund- sätzlich aufgegeben. Die Ablage der Korrespondenz in den betreffenden Strafakten stellt demnach keine Durchbrechung des Quellenschutzes (als Schutz vor behördlichem Zugriff) dar. Was die gesetzliche Grundlage für an- geordnete Ablage anbelangt, wird auf die betreffenden Erwägungen in den Beschlüssen der Beschwerdekammer BB.2015.128 vom 28. April 2016 und BB.2016.270 vom 19. Dezember 2016 verwiesen.</w:t>
      </w:r>
    </w:p>
    <w:p>
      <w:r>
        <w:t>- 10 -</w:t>
      </w:r>
    </w:p>
    <w:p>
      <w:r>
        <w:t>Aus den vorstehenden Erwägungen folgt auch, dass die Ablage der Korres- pondenz der Beschwerdeführerin mit der Beschwerdegegnerin in den Straf- akten per se keine behördliche Zwangsmassnahme und namentlich keine Beschlagnahme darstellt: Den von ihr stammenden Teil der Korrespondenz hat die Beschwerdeführerin aus freiem Willen und aus eigener Initiative ein- gereicht. Zu betonen ist weiter, dass die streitigen Unterlagen die Korrespon- denz der Beschwerdeführerin mit der Strafverfolgungsbehörde und nicht mit der beschuldigten oder dritten Person betreffen. Wird die Korrespondenz von Medienschaffenden mit einer beschuldigten Person beschlagnahmt, fällt diese nach der Rechtsprechung unter dem Beschlagnahmeverbot gemäss Art. 264 Abs. 1 StPO, auch wenn sich die Unterlagen nicht im Gewahrsam (oder Sphäre) der betreffenden Medienleute als Geheimnisträger befinden (BGE 140 IV 108 S. 117 E. 6.10; a.M. STEFAN HEIMGARTNER, in: Do- natsch/Hansjakob/Lieber [Hrsg.], Kommentar StPO, 2. Aufl., Zürich/Ba- sel/Genf 2014, Art. 264 N. 16d). Die Frage, ob das Beschlagnahmeverbot ebenfalls gilt, wenn die journalistische Korrespondenz mit einer staatlichen Stelle geführt wurde, in deren Gewahrsam sich die Unterlagen befinden, braucht vorliegend nicht beantwortet zu werden (verneinend HEIMGARTNER a.a.O.). Offenbart eine Journalistin, wie vorliegend geschehen, indes einer Strafverfolgungsbehörde freiwillig unter dem Quellenschutz stehende Infor- mationen, käme ein auf den Quellenschutz gestütztes Beschlagnahmever- bot ohnehin nicht mehr zum Tragen.</w:t>
      </w:r>
    </w:p>
    <w:p>
      <w:r>
        <w:t>Nach dem Gesagten steht fest, dass die Ablage der Korrespondenz in den Strafakten nicht einer behördlichen Zwangsmassnahme entspricht, welche einer Durchbrechung des Quellenschutzes darstellt. Einen Eingriff in die Me- dienfreiheit ist unter dem geprüften Gesichtspunkt nicht auszumachen.</w:t>
      </w:r>
    </w:p>
    <w:p>
      <w:r>
        <w:t>Im Übrigen braucht die Beschwerdegegnerin als Informationsquelle betref- fend deren hängige Verfahren nicht wie andere anonyme Informanten vor dem Zugriff der Strafverfolgungsbehörden geschützt zu werden. Die Beant- wortung einer Journalistenanfrage durch die Strafverfolgungsbehörde hin- sichtlich eines hängigen Verfahrens stellt sodann eine Orientierung der Öf- fentlichkeit im Sinne von Art. 74 StPO dar (s. dazu vorgenannte Beschlüsse BB.2015.128 und BB.2016.270) und fusst nicht auf dem Vertrauensverhält- nis zwischen Journalist und Informant. Bei den im Rahmen vom Art. 74 StPO erfolgten Antworten der Beschwerdegegnerin handelt es sich daher nicht um vertrauliche Informationen.</w:t>
      </w:r>
    </w:p>
    <w:p>
      <w:r>
        <w:t>- 11 -</w:t>
      </w:r>
    </w:p>
    <w:p>
      <w:r>
        <w:rPr>
          <w:b/>
        </w:rPr>
        <w:t>E. 2.4.1</w:t>
      </w:r>
    </w:p>
    <w:p>
      <w:r>
        <w:t>Die Beschwerdeführerin wendet ein, sie habe mit der Ablage der Medienan- fragen in den Strafakten und der Möglichkeit von deren Kenntnisnahme durch den Beschuldigten nicht gerechnet.</w:t>
      </w:r>
    </w:p>
    <w:p>
      <w:r>
        <w:rPr>
          <w:b/>
        </w:rPr>
        <w:t>E. 2.4.2</w:t>
      </w:r>
    </w:p>
    <w:p>
      <w:r>
        <w:t>Grundsätzlich musste die Beschwerdeführerin auch nach der landläufigen Anschauung des juristischen Laien davon ausgehen, dass die Beschwerde- gegnerin die Korrespondenz mit Journalisten dokumentiert (zur Dokumenta- tionspflicht im Strafverfahren an sich s. Beschluss der Beschwerdekammer BB.2015.128 vom 28. April 2016, E. 3.4 ff.; zur Dokumentationspflicht der Behörden im Allgemeinen, wonach alles in den Akten festgehalten wird, was zur Sache gehört s. Urteil des Bundesgerichts 5A.20/2003 vom 22. Ja- nuar 2004, E. 2.4.1). Es war ihr bekannt, dass Mitglieder der Strafbehörden zur Geheimhaltung verpflichtet sind (Art. 73 Abs. 1 StPO). Sie musste daher annehmen, dass die Beschwerdegegnerin bzw. ihre Vertreter gerade mit Blick auf den Vorwurf der Amtsgeheimnisverletzung nach Art. 320 StGB ihre Orientierung der Öffentlichkeit bereits aus Eigeninteresse festhalten würden.</w:t>
      </w:r>
    </w:p>
    <w:p>
      <w:r>
        <w:rPr>
          <w:b/>
        </w:rPr>
        <w:t>E. 2.4.3</w:t>
      </w:r>
    </w:p>
    <w:p>
      <w:r>
        <w:t>Soweit sich die Beschwerdeführerin auf das Bundesgesetz über den Daten- schutz vom 19. Juni 1992 (DSG; SR 235.1) beruft, ist festzuhalten, dass die- ses auf Strafverfahren nicht anwendbar ist (Art. 2 Abs. 2 lit. c DSG). Art. 95 bis Art. 99 StPO enthalten die Bestimmung zur Beschaffung und Bearbeitung von Daten im Zusammenhang mit hängigen Strafverfahren. Dabei werden auch Personen erfasst, die nicht Parteien im Strafverfahren sind (FRANZ RI- KLIN, StPO-Kommentar, 2. Aufl. 2014, Vorbemerkungen zu Art. 95-99, N. 3). Soweit die Beschaffung von Personendaten für die betroffene Person nicht erkennbar war, so ist diese umgehend darüber zu informieren (Art. 95 Abs. 2 Satz 1 StPO). Die Information kann zum Schutze überwiegender öffentlicher oder privater Interessen unterlassen oder aufgeschoben werden (Art. 95 Abs. 2 Satz 2 StPO). Entgegen der Darstellung der Beschwerdeführerin ha- ben Journalisten demnach auch nachträglich die Möglichkeit zu verlangen, dass ihre Namen und weitere Passagen ihrer Anfrage, die Rückschlüsse auf ihre Quellen erlauben, anonymisiert oder eingeschwärzt werden. Dass „keine wirksamen Schutzmechanismen gegen die Kompromittierung des Quellenschutzes“ bestehen würden, trifft demgemäss entgegen der Darstel- lung der Beschwerdeführerin nicht zu.</w:t>
      </w:r>
    </w:p>
    <w:p>
      <w:r>
        <w:rPr>
          <w:b/>
        </w:rPr>
        <w:t>E. 2.4.4</w:t>
      </w:r>
    </w:p>
    <w:p>
      <w:r>
        <w:t>Vollständigkeitshalber sei noch auf Nachstehendes hingewiesen: Sollte die Beschwerdeführerin bei Kontaktaufnahme mit der Beschwerdegegnerin der Auffassung gewesen sein, dass die Beantwortung von Journalistenanfragen in einem Strafverfahren lediglich eine administrative Angelegenheit darstellt, hätte sie jedenfalls mit Art. 6 des Bundesgesetzes über das Öffentlichkeits-</w:t>
      </w:r>
    </w:p>
    <w:p>
      <w:r>
        <w:t>- 12 -</w:t>
      </w:r>
    </w:p>
    <w:p>
      <w:r>
        <w:t>prinzip der Verwaltung (Öffentlichkeitsgesetz, BGÖ, SR 152.3) rechnen müs- sen, welches mit Bezug auf administrative Aufgaben auch für die Beschwer- degegnerin gilt (s. auch die Homepage der Beschwerdegegnerin http://www.bundesanwaltschaft.ch/dokumentation/00028/in- dex.html?lang=de; CHRISTA STAMM-PFISTER, Basler Kommentar Daten- schutzgesetz Öffentlichkeitsgesetz, 3. Aufl., Basel, Art. 2 BGÖ N. 12). Da- nach hat jede Person das Recht auf Zugang zu amtlichen Dokumenten, wel- che nicht das Straf- sowie weitere in Art. 3 Abs. 1 BGÖ genannte Verfahren betreffen. Dabei ist gemäss Art. 5 Abs. 1 BGÖ jede Information, die auf ei- nem beliebigen Informationsträger aufgezeichnet ist, sich im Besitz einer Be- hörde befindet, von der sie stammt oder der sie mitgeteilt worden ist, und die Erfüllung einer öffentlichen Aufgabe betrifft, ein amtliches Dokument. Unter der vorstehenden Prämisse hätte demnach ihre Korrespondenz mit der Be- schwerdegegnerin ein amtliches Dokument dargestellt. Der Zugang zu die- sem wird eingeschränkt, aufgeschoben oder verweigert, wenn durch seine Gewährung unter anderem Informationen vermittelt werden können, die der Behörde von Dritten freiwillig mitgeteilt worden sind und deren Geheimhal- tung die Behörde zugesichert hat (Art. 7 Abs. 1 lit. h BGÖ). Das Rückgän- gigmachen der Ablage im entsprechenden Dossier ist demgegenüber nicht vorgesehen. Der Gesetzgeber hat bereits selber eine Wertung vorgenom- men, was den Schutz der Privatsphäre anbelangt (zum Verhältnis zwischen BGÖ und DSG s. im Einzelnen RETO AMMANN/RENATE LANG, in: Passade- lis/Rosenthal/Thür [Hrsg.], Datenschutzrecht, 2015, Rz. 25.46 ff.).</w:t>
      </w:r>
    </w:p>
    <w:p>
      <w:r>
        <w:rPr>
          <w:b/>
        </w:rPr>
        <w:t>E. 2.5.1</w:t>
      </w:r>
    </w:p>
    <w:p>
      <w:r>
        <w:t>Die Beschwerdeführerin befürchtet bei einer Ablage ihrer Korrespondenz mit der Beschwerdegegnerin in den Akten und darauffolgender Kenntnisnahme ihrer Person und Quellen durch den Beschuldigten Vergeltungsmassnah- men für sich und ihre Quellen. So könne sich für sie und ihre Quellen – so die Beschwerdeführerin weiter – Einschränkungen der Reisemöglichkeiten, ja sogar Bedrohungen an Leib und Leben ergeben, wenn von den Recher- chen beschuldigte Personen erfahren, die aus Ländern stammen, in denen ein autoritäres Regime herrsche. Dieses Risiko sei im konkreten Fall gege- ben, da der Beschuldigte ein ehemaliger Vertreter der C.-Behörde der Ukra- ine sei und immer noch über gute Kontakte zu ukrainischen Oligarchen und Machtträgern verfüge (act 1 S. 5 f.).</w:t>
      </w:r>
    </w:p>
    <w:p>
      <w:r>
        <w:rPr>
          <w:b/>
        </w:rPr>
        <w:t>E. 2.5.2</w:t>
      </w:r>
    </w:p>
    <w:p>
      <w:r>
        <w:t>Wer staatliche Aufgaben wahrnimmt ist gemäss Art. 35 Abs. 2 BV an die Grundrechte gebunden und verpflichtet, zu ihrer Verwirklichung beizutragen. Art. 35 BV verpflichtet den Staat, die tatsächliche Inanspruchnahme der grundrechtlichen Rechte und Freiheiten durch die Schaffung entsprechender Rahmenbedingungen zu ermöglichen bzw. zu erleichtern. Daraus entstehen</w:t>
      </w:r>
    </w:p>
    <w:p>
      <w:r>
        <w:t>- 13 -</w:t>
      </w:r>
    </w:p>
    <w:p>
      <w:r>
        <w:t>für den Staat verschiedene Leistungs- und Gewährleistungspflichten (BERN- HARD WALDMANN, Basler Kommentar Bundesverfassung, a.a.O. Art. 35 N. 37 ff.). Der Verwirklichungsauftrag von Art. 35 BV umfasst überdies die Pflicht des Staates, die grundrechtlichen Freiheiten und Rechte der Einzel- nen vor Verletzungen und Gefährdungen zu schützen, die nicht von ihm, sondern von Dritten ausgehen (sog. Schutzpflichten, a.a.O., N. 40). Als Dritte gelten nicht nur Private, sondern auch Drittstaaten (a.a.O., N. 42). Damit die staatliche Schutzpflicht zum Tragen kommt, muss eine Grundrechtsbeein- trächtigung bereits vorliegen oder zumindest mit einer gewissen Wahr- scheinlichkeit drohen (a.a.O., N. 43). Nach SCHMOHL entfaltet das Redakti- onsgeheimnis infolge direkter Horizontalwirkung gemäss Art. 35 Abs. 3 BV seine Schutzwirkung auch zwischen Privaten. Die Drittwirkung bedeute nach dieser Autorin, dass Träger von Art. 17 Abs. 3 BV, die durch Private in ihren Rechten verletzt werden, den Staat um Schutz anrufen können (a.a.O., S. 104).</w:t>
      </w:r>
    </w:p>
    <w:p>
      <w:r>
        <w:rPr>
          <w:b/>
        </w:rPr>
        <w:t>E. 2.5.3</w:t>
      </w:r>
    </w:p>
    <w:p>
      <w:r>
        <w:t>Die Parteien und unter bestimmten Voraussetzungen andere Verfahrensbe- teiligte haben im Strafverfahren zwar das Recht, die Akten einzusehen (Art. 107 Abs. 1 lit. a StPO). Ist die Korrespondenz in den Akten, steht ihnen auch diesbezüglich ein Akteneinsichtsrecht zu. Art. 108 Abs. 1 lit. b StPO sieht allerdings vor, dass die Strafbehörden das rechtliche Gehör einschrän- ken können, wenn dies für die Sicherheit von Personen oder zur Wahrung öffentlicher oder privater Geheimhaltungsinteressen erforderlich ist. Auch wenn sich die Beschwerdegegnerin im vorliegenden Verfahren darüber aus- schweigt, anonymisierte sie, wie aus dem Beschwerdeverfahren betreffend Akteneinsicht des Beschuldigten in die Korrespondenz mit Journalisten her- vorgeht, von sich aus die Namen der Beschwerdeführerin sowie der anderen Journalisten (BB.2017.66). Dass die Beschwerdeführerin in ihren Anfragen ihre Informationsquellen gegenüber der Beschwerdegegnerin offengelegt hätte, macht sie, wie bereits unter supra Ziff. 2.3.2 ausgeführt, nicht geltend und geht auch nicht aus den Akten hervor. Inwiefern in ihrem Fall konkret durch die Ablage ihrer Korrespondenz im Wortlaut trotz Anonymisierung, Rückschlüsse auf ihre Person und allenfalls genannte Quellen möglich wä- ren, zeigt sie nicht auf. Die Beschwerdeführerin und die anderen Journalisten haben mit Aufnahme der Korrespondenz berechtigtes Vertrauen in die Be- schwerdegegnerin gezeigt, dass diese die Geheimhaltungsinteressen der Journalisten wahren werde. Die Beschwerdegegnerin wies bereits in den Be- schwerdeverfahren BB.2015.128 und BB.2016.270 auf die Geheimhaltungs- interessen der Journalisten hin. Nichts deutet daraufhin, dass die Beschwer- degegnerin nach Ablage der Korrespondenz in den Strafakten nicht weiter die Geheimhaltungsinteressen der Journalisten durch geeignete Einschrän- kungen des rechtlichen Gehörs des Beschuldigten wahren werde. So wenig wie mit Aufnahme der Korrespondenz mit der Beschwerdegegnerin, ist auch</w:t>
      </w:r>
    </w:p>
    <w:p>
      <w:r>
        <w:t>- 14 -</w:t>
      </w:r>
    </w:p>
    <w:p>
      <w:r>
        <w:t>mit der Ablage der Korrespondenz in den Strafakten der von der Beschwer- deführerin gefürchtete „chilling effect“ begründet. Dass die Journalisten auch bei Ablage der Korrespondenz in den Strafakten nicht mehr frei, d.h. im Rah- men von Art. 74 StPO, mit der Beschwerdegegnerin kommunizieren könn- ten, ist nicht ersichtlich.</w:t>
      </w:r>
    </w:p>
    <w:p>
      <w:r>
        <w:rPr>
          <w:b/>
        </w:rPr>
        <w:t>E. 2.6</w:t>
      </w:r>
    </w:p>
    <w:p>
      <w:r>
        <w:t>Mit den Beschlüssen BB.2015.128 vom 28. April 2016 und BB.2016.270 vom 19. Dezember 2016 wurde die rechtliche Grundlage und implizit das öffentli- che Interesse für die Ablage der Korrespondenz der Beschwerdegegnerin mit den Journalisten in den Strafakten dargelegt. Die Verhältnismässigkeit der Anordnung wurde mit Blick auf die in der Folge noch zu konkretisierende Frage des Umfangs der Akteneinsicht im Grundsatz bejaht. Wie aus den vor- stehenden Erwägungen hervorgeht, besteht kein Grund, auf die vorgenann- ten Beschlüsse zurückzukommen. Die in Art. 108 Abs. 1 lit. b StPO vorge- sehenen Möglichkeiten zur Einschränkung des Akteneinsichtsrechts von B. und die bisherige Konkretisierung durch die Beschwerdegegnerin erweisen sich nicht nur in abstracto, sondern auch in concreto als ausreichend, um die Geheimhaltungsinteressen zu schützen. Der angefochtene Entscheid hält einer Verhältnismässigkeitsprüfung ohne weiteres stand. Die Beschwerde erweist sich insgesamt als unbegründet.</w:t>
      </w:r>
    </w:p>
    <w:p>
      <w:r>
        <w:t>3. Bei diesem Ausgang des Verfahrens sind die Gerichtskosten der unterlie- genden Beschwerdeführerin aufzuerlegen (Art. 428 Abs. 1 StPO). Die Ge- richtsgebühr ist auf Fr. 2'000.-- festzusetzen (Art. 73 StBOG i.V.m. Art. 5 und</w:t>
      </w:r>
    </w:p>
    <w:p>
      <w:r>
        <w:rPr>
          <w:b/>
        </w:rPr>
        <w:t>E. 6</w:t>
      </w:r>
    </w:p>
    <w:p>
      <w:r>
        <w:t>Aufl., 2016, S. 386 N. 8; FRANZ ZELLER/REGINA KIENER, in Basler Kom- mentar Bundesverfassung, Waldmann/Belser/Epiney [Hrsg.], Basel 2015, Art. 17 N. 3). Nach der bundesrechtlichen Rechtsprechung entspricht der Schutz durch die Konvention grundsätzlich weitgehend demjenigen der Bun- desverfassung (vgl. BGE 130 I 369 E. 2 S. 375; ZELLER/ KIENER, a.a.O., Art. 17 N. 3). Der Europäische Gerichtshof für Menschenrechte hat im Rah- men der Medienfreiheit allerdings ein Schutzniveau entwickelt, das weit über einen blossen Minimalstandard hinausgeht und damit den Schutzgehalt von Art. 17 BV erweitert (JÖRG PAUL MÜLLER/MARKUS SCHEFER, Grundrechte in der Schweiz, 4. Aufl., Bern 2008, S. 441; ZELLER/ KIENER, a.a.O., Art. 17 N. 3). Als Freiheitsrecht dient Art. 17 BV primär der Abwehr staatlicher Beschrän- kungen (s. ZELLER/ KIENER, a.a.O., Art. 17 N. 22). Gemäss Art. 36 BV sind Einschränkungen der Medienfreiheit zulässig, wenn sie auf einer gesetzli- chen Grundlage beruhen, durch ein öffentliches Interesse oder den Schutz von Grundrechten Dritter gerechtfertigt und verhältnismässig sind. In Ergänzung hierzu ist festzuhalten, dass die Grundrechte der freien Kom- munikation, zu denen die Medienfreiheit gehört, nicht nur durch direkte Ein- griffe wie Verbote und Sanktionen beeinträchtigt werden können. Denkbar</w:t>
      </w:r>
    </w:p>
    <w:p>
      <w:r>
        <w:t>- 7 -</w:t>
      </w:r>
    </w:p>
    <w:p>
      <w:r>
        <w:t>sind auch mittelbare Beeinträchtigungen dieser Grundrechte in dem Sinne, dass der Betroffene sich aufgrund einer behördlichen Reaktion nicht mehr getraut, erneut vom Grundrecht Gebrauch zu machen. In Rechtsprechung und Lehre wird in diesem Zusammenhang vom sog. "chilling effect" (auch "effet dissuasif") gesprochen. Die Ausübung der Grundrechte darf durch ne- gative Begleiterscheinungen nicht derart beschränkt werden, dass von einer Abschreckungswirkung oder einem Einschüchterungseffekt zu sprechen ist (s. im Einzelnen BGE 143 I 147 E. 3.3 S. 153, mit zahlreichen Hinweisen auf Rechtsprechung und Literatur; s. insbesondere Urteil der Grossen Kammer des Europäischen Gerichtshofs für Menschenrechte (EGMR) in der Sa- che Goodwin gegen Vereinigtes Königsreich vom 27. März 1996, Nr. 17488/90, Receuil CourEDH 1996-II S. 500 § 39). Nach der Rechtsprechung des EGMR fliessen aus der Medienfreiheit in be- stimmten Konstellationen zudem staatliche Schutzpflichten (Urteil i.S. Özgür Gündem gegen Türkei vom 16. März 2000 (Nr. 23144/93, Ziff. 43 ff.; ZEL- LER/KIENER, a.a.O., Art. 17 N. 19 f.; MÜLLER/SCHEFER, a.a.O., S. 475). Da- nach ist der Staat bei Kenntnis und im Rahmen seiner Möglichkeiten ver- pflichtet, Verlage und Journalisten vor Gewalttaten von Seiten Dritter zu schützen. Im beurteilten Fall waren Mitarbeiter einer türkischen Tageszei- tung erschossen und Anschläge auf zahlreiche weitere verübt worden. Ob- wohl die Zeitung mehrmals polizeilichen Schutz angefordert hatte, waren die türkischen Behörden untätig geblieben. Nach dem EGMR verstiessen die türkischen Behörden gegen ihre Schutzpflicht aus Art. 10 EMRK.</w:t>
      </w:r>
    </w:p>
    <w:p>
      <w:r>
        <w:rPr>
          <w:b/>
        </w:rPr>
        <w:t>E. 8</w:t>
      </w:r>
    </w:p>
    <w:p>
      <w:r>
        <w:t>Abs. 1 des Reglements des Bundesstrafgerichts vom 31. August 2010 über die Kosten, Gebühren und Entschädigungen in Bundesstrafverfahren [BStKR; SR 173.713.162]), unter Anrechnung des geleisteten Kostenvor- schusses in derselben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