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BB.2017.54 vom 18. Juli 2017</w:t>
      </w:r>
    </w:p>
    <w:p>
      <w:r>
        <w:t>Bundesstrafgericht, 2017-07-18, DE</w:t>
      </w:r>
    </w:p>
    <w:p>
      <w:r>
        <w:rPr>
          <w:b/>
        </w:rPr>
        <w:t xml:space="preserve">Quelle: </w:t>
      </w:r>
      <w:r>
        <w:t>https://mcp.opencaselaw.ch/entscheid/bstger_BB.2017.54</w:t>
      </w:r>
    </w:p>
    <w:p>
      <w:r>
        <w:t>FR: TPF BB.2017.54 du 18 juillet 2017</w:t>
      </w:r>
    </w:p>
    <w:p>
      <w:r>
        <w:t>IT: TPF BB.2017.54 del 18 luglio 2017</w:t>
      </w:r>
    </w:p>
    <w:p>
      <w:pPr>
        <w:pStyle w:val="Heading2"/>
      </w:pPr>
      <w:r>
        <w:t>Regeste</w:t>
      </w:r>
    </w:p>
    <w:p>
      <w:r>
        <w:t>Ordnungsbusse (Art. 64 Abs. 2 StPO). Verfahrenshandlung der Strafkammer (Art. 20 Abs. 1 lit. a i.V.m. Art. 393 Abs. 1 lit. b StPO).</w:t>
      </w:r>
    </w:p>
    <w:p>
      <w:pPr>
        <w:pStyle w:val="Heading2"/>
      </w:pPr>
      <w:r>
        <w:t>Erwägungen</w:t>
      </w:r>
    </w:p>
    <w:p>
      <w:r>
        <w:rPr>
          <w:b/>
        </w:rPr>
        <w:t>E. 1</w:t>
      </w:r>
    </w:p>
    <w:p>
      <w:r>
        <w:t>Gegen Verfügungen und Beschlüsse sowie gegen Verfahrenshandlungen der Strafkammer des Bundesstrafgerichts kann bei der Beschwerdekammer des Bundesstrafgerichts Beschwerde nach den Vorschriften der Art. 393 ff. StPO erhoben werden, wobei verfahrensleitende Entscheide ausgenommen sind (Art. 393 Abs. 1 lit. b i.V.m. Art. 20 Abs. 1 lit. a StPO und Art. 37 Abs. 1 StBOG). Verfahrensleitende Anordnungen der Gerichte können demgegen- über nur mit dem Endentscheid angefochten werden (Art. 65 Abs. 1 StPO). Gemäss bundesgerichtlicher Rechtsprechung sind diese Bestimmungen so auszulegen, dass verfahrensleitende Anordnungen der erstinstanzlichen Gerichte nur dann mit Beschwerde angefochten werden können, wenn sie einen nicht wieder gutzumachenden Nachteil im Sinne von Art. 93 Abs. 1 lit. a BGG herbeiführen können (BGE 140 IV 202 E. 2.1 S. 204 f.; TPF 2013 69 E. 2.1 S. 70 f.). Zur Beschwerde berechtigt ist jede Partei oder jeder an- dere Verfahrensbeteiligte, welche oder welcher ein rechtlich geschütztes In- teresse an der Aufhebung oder Änderung des angefochtenen Entscheides haben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t>- 7 -</w:t>
      </w:r>
    </w:p>
    <w:p>
      <w:r>
        <w:rPr>
          <w:b/>
        </w:rPr>
        <w:t>E. 2.1</w:t>
      </w:r>
    </w:p>
    <w:p>
      <w:r>
        <w:t>Gemäss Art. 64 Abs. 1 StPO kann die Verfahrensleitung Personen, die den Geschäftsgang stören, den Anstand verletzen oder verfahrensleitende An- ordnungen missachten, mit Ordnungsbusse bis zu 1000 Franken bestrafen. Mit Ordnungsbusse kann auch bestraft werden, wer einer Vorladung des Ge- richts unentschuldigt nicht oder zu spät Folge leistet (Art. 205 Abs. 4 StPO). Ordnungsbussen der erstinstanzlichen Gerichte können innert zehn Tagen bei der Beschwerdeinstanz angefochten werden (Art. 64 Abs. 2 StPO).</w:t>
      </w:r>
    </w:p>
    <w:p>
      <w:r>
        <w:rPr>
          <w:b/>
        </w:rPr>
        <w:t>E. 2.2.1</w:t>
      </w:r>
    </w:p>
    <w:p>
      <w:r>
        <w:t>Hinsichtlich der am 3. März 2017 ergangenen und gleichentags von der Vorinstanz den Parteien schriftlich zugestellten Verfügung betreffend Ord- nungsbusse (act. 2.1) macht die Vorinstanz sinngemäss geltend, die am 16. März 2017 eingereichte Beschwerde erweise sich als verfrüht, da zu die- sem Zeitpunkt die schriftliche Begründung des Entscheides noch nicht vor- gelegen habe (vgl. act. 4).</w:t>
      </w:r>
    </w:p>
    <w:p>
      <w:r>
        <w:rPr>
          <w:b/>
        </w:rPr>
        <w:t>E. 2.2.2</w:t>
      </w:r>
    </w:p>
    <w:p>
      <w:r>
        <w:t>Entscheide ergehen schriftlich und werden begründet (Art. 80 Abs. 2 StPO). Einschränkungen von der Begründungspflicht bedürfen grundsätzlich einer Grundlage im Gesetz (vgl. Art. 36 Abs. 1 BV). So brauchen zum Beispiel einfache verfahrensleitende Beschlüsse und Verfügungen weder besonders ausgefertigt noch begründet zu werden; sie werden im Protokoll vermerkt und den Parteien in geeigneter Weise eröffnet (Art. 80 Abs. 3 StPO). Bei der Verhängung einer Ordnungsbusse gemäss Art. 64 StPO handelt es sich je- doch nicht um eine solche einfache verfahrensleitende Verfügung im Sinne von Art. 80 Abs. 3 StPO. Letztgenannte Bestimmung betrifft im Regelfall nur Entscheide, die nicht sofort, sondern erst mit dem Endentscheid anfechtbar sind. Nicht mehr als einfach im Sinne von Art. 80 Abs. 3 StPO qualifiziert werden können insbesondere Entscheide, welche für die Verfahrensbeteilig- ten unmittelbar nachteilig sein können, mithin in deren Rechtsstellung ein- greifen (vgl. STOHNER, Basler Kommentar, 2. Aufl., Basel 2014, Art. 80 StPO N. 16 ff.; SCHMID, Praxiskommentar, 2. Aufl., Zürich/St. Gallen 2013, Art. 80 StPO N. 5 f.). Vorliegend nicht interessierende Einschränkungen und Aus- nahmen der Begründungspflicht finden sich zudem in Art. 82, Art. 309 Abs. 3 und Art. 359 Abs. 1 StPO. Gesetzlich vorgesehene Fälle einer nachträgli- chen Begründung finden sich in Art. 226 Abs. 2, Art. 260 Abs. 3 und Art. 263 Abs. 2 StPO. Gemäss Art. 396 Abs. 1 StPO ist die Beschwerde gegen schrift- lich oder mündlich eröffnete Entscheide innert zehn Tagen einzureichen. Die Rechtsmittelfrist beginnt mit der Zustellung des Entscheides (Art. 384 lit. b StPO), wobei der Tag der Zustellung selbst nicht mitzuzählen ist (Art. 90 Abs. 1 StPO). Massgebend für den Beginn der Rechtsmittelfrist nach Art. 384 lit. b StPO ist gemäss der bundesgerichtlichen Rechtsprechung die</w:t>
      </w:r>
    </w:p>
    <w:p>
      <w:r>
        <w:t>- 8 -</w:t>
      </w:r>
    </w:p>
    <w:p>
      <w:r>
        <w:t>Zustellung des begründeten Entscheids. Ein Versand des Dispositivs ist nicht ausschlaggebend (BGE 143 IV 40 E. 3.4.1 S. 45, u. a. mit Hinweis auf GUIDON, Basler Kommentar, 2. Aufl., Basel 2014, Art. 396 StPO N. 2). Mit Blick auf den Wortlaut von Art. 396 StPO muss dies nach GUIDON (a.a.O.) allerdings auf jene Fälle beschränkt bleiben, in denen die nachträgliche schriftliche Bestätigung von Gesetzes wegen vorgeschrieben ist.</w:t>
      </w:r>
    </w:p>
    <w:p>
      <w:r>
        <w:rPr>
          <w:b/>
        </w:rPr>
        <w:t>E. 2.2.3</w:t>
      </w:r>
    </w:p>
    <w:p>
      <w:r>
        <w:t>Nach dem Gesagten ergibt sich, dass der Erlass einer Ordnungsbusse schriftlich zu ergehen hat und kurz zu begründen ist (siehe auch JENT, Basler Kommentar, 2. Aufl., Basel 2014, Art. 64 StPO N. 5). Die nachträgliche schriftliche Begründung einer verhängten und der betroffenen Partei bereits im Dispositiv zugestellten Ordnungsbusse ist in der StPO nicht vorgesehen. Dieses Vorgehen ist nur für Urteile im Sinne von Art. 80 Abs. 1 Satz 1 StPO vorgesehen (Art. 84 Abs. 2 und 4 StPO). Insofern hat sich der Beschwerde- führer 1 zu Recht bereits nach Erhalt des Auszugs aus dem Protokoll der Hauptverhandlung vom 3. März 2017 (act. 2.1) veranlasst gesehen, inner- halb von zehn Tagen gegen den Ordnungsbussenbescheid Beschwerde zu erheben.</w:t>
      </w:r>
    </w:p>
    <w:p>
      <w:r>
        <w:rPr>
          <w:b/>
        </w:rPr>
        <w:t>E. 2.3.1</w:t>
      </w:r>
    </w:p>
    <w:p>
      <w:r>
        <w:t>Die dem Beschwerdeführer 1 auferlegte Ordnungsbusse erging unter Hin- weis auf Art. 205 Abs. 4 StPO (act. 2.1). Im Rahmen der schriftlichen Be- gründung führte die Vorinstanz aus, der Beschwerdeführer 1 sei mit Vorla- dung vom 20. Dezember 2016 zum persönlichen Erscheinen an der Haupt- verhandlung vom 3. März 2017 aufgefordert worden (TPF 3 831 001). Diese Vorladung sei bis zum 3. März 2017 nicht widerrufen worden (act. 9.1, E. 1.1). Der Beschwerdeführer 1 sei ohne Entschuldigung nicht zur erwähn- ten Hauptverhandlung erschienen, weshalb er mit einer Ordnungsbusse zu belegen sei (act. 9.1, E. 1.2).</w:t>
      </w:r>
    </w:p>
    <w:p>
      <w:r>
        <w:rPr>
          <w:b/>
        </w:rPr>
        <w:t>E. 2.3.2</w:t>
      </w:r>
    </w:p>
    <w:p>
      <w:r>
        <w:t>Hat eine Person – wie vorliegend der Beschwerdeführer 1 – gegen einen Strafbefehl der Staatsanwaltschaft Einsprache erhoben und bleibt sie der Hauptverhandlung unentschuldigt fern und lässt sie sich auch nicht vertre- ten, so gilt ihre Einsprache als zurückgezogen (Art. 356 Abs. 4 StPO). In der Literatur wird diesbezüglich überwiegend die Meinung vertreten, dass der damit verbundene Rechtsverlust (siehe hierzu BGE 142 IV 158 E. 3.2 S. 160; Urteil des Bundesgerichts 6B_152/2013 vom 27. Mai 2013, E. 3.3) eine Dis- ziplinierung durch eine Ordnungsbusse nach Art. 205 Abs. 4 i.V.m. Art. 64 Abs. 1 StPO grundsätzlich ausschliesst (SCHMID, a.a.O., Art. 64 StPO N. 2 und Art. 356 StPO N. 5; SCHWARZENEGGER, Kommentar zur Schweizeri- schen Strafprozessordnung [StPO], 2. Aufl., Zürich/Basel/Genf 2014, Art. 356 StPO N. 3; BERNASCONI, Codice svizzero di procedura penale</w:t>
      </w:r>
    </w:p>
    <w:p>
      <w:r>
        <w:t>- 9 -</w:t>
      </w:r>
    </w:p>
    <w:p>
      <w:r>
        <w:t>[CPP], Zürich/St. Gallen 2010, Art. 356 StPO N. 9). Dieser Ansicht folgend wäre die angefochtene Ordnungsbusse ohne Weiteres aufzuheben. Vorlie- gend ist jedoch auch zu beachten, dass der Beschwerdeführer 1 seine Ein- sprache gegen den Strafbefehl bereits mit Eingabe vom 1. März 2017 und damit vor der Hauptverhandlung vom 3. März 2017 schriftlich zurückgezogen hat (act. 1.4), was von der Vorinstanz auch zur Kenntnis genommen wurde (act. 1.5).</w:t>
      </w:r>
    </w:p>
    <w:p>
      <w:r>
        <w:rPr>
          <w:b/>
        </w:rPr>
        <w:t>E. 2.3.3</w:t>
      </w:r>
    </w:p>
    <w:p>
      <w:r>
        <w:t>Die Einsprache gegen den Strafbefehl kann bis zum Abschluss der Partei- vorträge zurückgezogen werden (Art. 356 Abs. 3 StPO). Der Strafbefehl wird dadurch zum rechtskräftigen Urteil (Urteil des Bundesgerichts 6B_516/2016 vom 4. August 2016, E. 2.3 m.w.H.) und das vor dem erstinstanzlichen Ge- richt hängige Verfahren ist zufolge Gegenstandslosigkeit als erledigt abzu- schreiben (Verfügungen des Bundesstrafgerichts SK.2016.54 vom 3. März 2017; SK.2016.49 vom 20. Januar 2017; SK.2016.23 vom 6. Juli 2016). Die entsprechende Abschreibungsverfügung hat lediglich deklaratorischen Cha- rakter (vgl. BGE 141 IV 269 E. 2.2.3 S. 271 f.).</w:t>
      </w:r>
    </w:p>
    <w:p>
      <w:r>
        <w:rPr>
          <w:b/>
        </w:rPr>
        <w:t>E. 2.3.4</w:t>
      </w:r>
    </w:p>
    <w:p>
      <w:r>
        <w:t>Erwies sich das Verfahren vor der Vorinstanz nach dem Rückzug der Ein- sprache des Beschwerdeführers 1 gegen den Strafbefehl als gegenstands- los, so entfiel damit auch der Anlass zur Durchführung der Hauptverhandlung vom 3. März 2017. Die Annahme der Vorinstanz, der Rückzug der Einspra- che sei nicht vollumfänglich erfolgt (vgl. hierzu act. 9.2, E. 1.10), findet in den Akten keine Stütze. Die Einsprache des Beschwerdeführers 1 gegen den ihn betreffenden Strafbefehl (act. 9.3) und die erfolgte Rückzugserklärung (act. 1.4) sind eindeutig.</w:t>
      </w:r>
    </w:p>
    <w:p>
      <w:r>
        <w:rPr>
          <w:b/>
        </w:rPr>
        <w:t>E. 2.3.5</w:t>
      </w:r>
    </w:p>
    <w:p>
      <w:r>
        <w:t>Nach dem Gesagten fehlte es der Hauptverhandlung vom 3. März 2017 an der Grundlage zu deren Durchführung. Davon ging auch der Beschwerde- führer 1 aus, liess er im Rahmen seiner Rückzugserklärung doch beantra- gen, das Verfahren sei abzuschreiben (act. 1.4). Demzufolge erweist es sich auch als unzulässig, dem Beschwerdeführer 1 für sein Nichterscheinen an der erwähnten Hauptverhandlung eine Ordnungsbusse aufzuerlegen. Dass die an ihn ergangene Vorladung von der Vorinstanz nicht ausdrücklich wi- derrufen worden ist, ändert am Gesagten nichts.</w:t>
      </w:r>
    </w:p>
    <w:p>
      <w:r>
        <w:rPr>
          <w:b/>
        </w:rPr>
        <w:t>E. 2.4</w:t>
      </w:r>
    </w:p>
    <w:p>
      <w:r>
        <w:t>Die Beschwerde gegen die dem Beschwerdeführer 1 auferlegte Ordnungs- busse ist aufgrund der oben stehenden Erwägungen gutzuheissen. Ziff. 1 des Dispositivs der angefochtenen Verfügung vom 3. März 2017 ist demnach aufzuheben.</w:t>
      </w:r>
    </w:p>
    <w:p>
      <w:r>
        <w:t>- 10 -</w:t>
      </w:r>
    </w:p>
    <w:p>
      <w:r>
        <w:rPr>
          <w:b/>
        </w:rPr>
        <w:t>E. 3</w:t>
      </w:r>
    </w:p>
    <w:p>
      <w:r>
        <w:t>Nicht einzutreten ist hingegen auf die Beschwerde, soweit sie sich gegen die von der Vorinstanz angekündigte Zustellung ihres Entscheides an die Auf- sichtskommission des Kantons Zürich über die Anwältinnen und Anwälte zur Prüfung disziplinarischer Massnahmen gegen den Beschwerdeführer 2 rich- tet. Es handelt sich hier nicht um eine der Beschwerde nach Art. 393 Abs. 1 lit. b StPO unterliegende Verfügung oder Verfahrenshandlung (siehe für eine Übersicht z. B. GUIDON, Die Beschwerde gemäss Schweizerischer Strafpro- zessordnung, Berner Diss., Zürich/St. Gallen 2011, N. 151 ff.). Die angefoch- tene Meldung stützt sich auf Art. 15 Abs. 2 des Bundesgesetzes vom 23. Juni 2000 über die Freizügigkeit der Anwältinnen und Anwälte (Anwaltsgesetz, BGFA; SR 935.61). Demzufolge ist die Vorinstanz verpflichtet, der Aufsichts- behörde des Kantons, in dem eine Anwältin oder ein Anwalt eingetragen ist, unverzüglich Vorfälle zu melden, welche die Berufsregeln verletzen könnten (zur Meldepflicht siehe das Urteil des Bundesgerichts 5A_567/2016 vom 9. März 2017, E. 2.3: «la communication imposée par l’art. 15 LLCA est un devoir de l‘autorité»; Urteil des Obergerichts des Kantons Zürich LF160017 vom 25. November 2016, E. 4.3; Beschluss des Obergerichts des Kantons Zürich KG070030 vom 6. Dezember 2007, E. 4). Zuständig zur Beurteilung der Frage, ob bestimmte Vorfälle die Berufsregeln verletzen könnten ist die Aufsichtsbehörde. Sie kann nach Erhalt einer Meldung nach Art. 15 Abs. 2 BGFA zu einer eigenen Beurteilung bezüglich der disziplinarischen Relevanz der Vorgänge gelangen (POLEDNA, Kommentar zum Anwaltsgesetz, 2. Aufl., Zürich/Basel/Genf 2011, Art. 15 BGFA N. 8). Die Beschwerdekammer ist da- gegen nicht zuständig, den von der Vorinstanz an den Beschwerdeführer 2 gerichteten Vorwurf der möglichen Verletzung der Berufsregeln zu beurtei- len. Entgegen den Ausführungen der Beschwerdeführer (vgl. act. 9, Rz. 36 ff.) ist bezüglich der angefochtenen Mitteilung keine Nichtigkeit anzunehmen. Der Umstand, dass es an einer Grundlage zur Durchführung einer Hauptver- handlung fehlte (siehe oben E. 2.3.4 und 2.3.5), bedeutet nicht, dass kein Verfahren mehr hängig war. Der Einzelrichter war demnach zuständig bzw. verpflichtet, die das Verfahren abschliessende Abschreibungsverfügung zu erlassen. Die angefochtene Meldung an die Aufsichtskommission des Kan- tons Zürich über die Anwältinnen und Anwälte wurde in diesem Rahmen an- gekündigt. Dass diese Verfügungen bzw. die Ankündigung der Meldung im Rahmen der Hauptverhandlung und nicht im schriftlichen Verfahren ergan- gen sind, stellt keinen Nichtigkeitsgrund dar.</w:t>
      </w:r>
    </w:p>
    <w:p>
      <w:r>
        <w:rPr>
          <w:b/>
        </w:rPr>
        <w:t>E. 4</w:t>
      </w:r>
    </w:p>
    <w:p>
      <w:r>
        <w:t>Die von den beiden Beschwerdeführern gemeinsam erhobene Beschwerde ist nach dem Gesagten teilweise gutzuheissen. Die dem Beschwerdefüh-</w:t>
      </w:r>
    </w:p>
    <w:p>
      <w:r>
        <w:t>- 11 -</w:t>
      </w:r>
    </w:p>
    <w:p>
      <w:r>
        <w:t>rer 1 mit Verfügung vom 3. März 2017 auferlegte Ordnungsbusse ist aufzu- heben. Im Übrigen ist auf die Beschwerde mangels zulässigem Anfechtungs- objekt nicht einzutreten.</w:t>
      </w:r>
    </w:p>
    <w:p>
      <w:r>
        <w:rPr>
          <w:b/>
        </w:rPr>
        <w:t>E. 5.1</w:t>
      </w:r>
    </w:p>
    <w:p>
      <w:r>
        <w:t>Die Parteien tragen die Kosten des Rechtsmittelverfahrens nach Massgabe ihres Obsiegens oder Unterliegens (Art. 428 Abs. 1 StPO). Soweit die Be- schwerde im Interesse des Beschwerdeführers 1 erhoben wurde, hat dieser vollumfänglich obsiegt. Der Beschwerdeführer 2 hingegen ist mit dem Teil der Beschwerde, der in seinem Interesse erhoben wurde, vollumfänglich un- terlegen. Die diesen Teil betreffende, reduzierte Gerichtsgebühr ist daher dem Beschwerdeführer 2 aufzuerlegen. Sie ist festzusetzen auf Fr. 500.– (vgl. Art. 73 StBOG und Art. 5 und 8 Abs. 1 des Reglements des Bundesstraf- gerichts vom 31. August 2010 über die Kosten, Gebühren und Entschädi- gungen in Bundesstrafverfahren [BStKR; SR 173.713.162]).</w:t>
      </w:r>
    </w:p>
    <w:p>
      <w:r>
        <w:rPr>
          <w:b/>
        </w:rPr>
        <w:t>E. 5.2</w:t>
      </w:r>
    </w:p>
    <w:p>
      <w:r>
        <w:t>Dem Ausgang des Verfahrens entsprechend hat der Beschwerdeführer 1 Anspruch auf eine Entschädigung für seine Aufwendungen im vorliegenden Beschwerdeverfahren zu Lasten der Kasse des Bundesstrafgerichts (Art. 436 Abs. 1 i.V.m. Art. 429 Abs. 1 lit. a StPO). Die auszurichtende Ent- schädigung ist auf Fr. 1‘000.– festzusetzen (vgl.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