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BB.2017.53 vom 9. Oktober 2017</w:t>
      </w:r>
    </w:p>
    <w:p>
      <w:r>
        <w:t>Bundesstrafgericht, 2017-10-09, FR</w:t>
      </w:r>
    </w:p>
    <w:p>
      <w:r>
        <w:rPr>
          <w:b/>
        </w:rPr>
        <w:t xml:space="preserve">Quelle: </w:t>
      </w:r>
      <w:r>
        <w:t>https://mcp.opencaselaw.ch/entscheid/bstger_BB.2017.53</w:t>
      </w:r>
    </w:p>
    <w:p>
      <w:r>
        <w:t>FR: TPF BB.2017.53 du 9 octobre 2017</w:t>
      </w:r>
    </w:p>
    <w:p>
      <w:r>
        <w:t>IT: TPF BB.2017.53 del 9 ottobre 2017</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(Message du 21 décembre 2005 relatif à l’unification du droit de la procédure pénale, FF 2006 1057, p. 1296 in fine; GUIDON, Commentaire bâlois, 2e éd., Bâle 2014, n° 15 ad art. 393 CPP; KELLER, Donatsch/Hansjakob/Lieber [édit.], Kommentar zur Schweizerischen Strafprozessordnung [StPO], 2e éd., Zurich/Bâle/Genève 2014, no 39 ad art. 393 CPP; SCHMID, Handbuch des schweizerischen Strafprozessrechts, 2e éd., Zurich/Saint-Gall 2013, no 1512).</w:t>
      </w:r>
    </w:p>
    <w:p>
      <w:r>
        <w:rPr>
          <w:b/>
        </w:rPr>
        <w:t>E. 1.2</w:t>
      </w:r>
    </w:p>
    <w:p>
      <w:r>
        <w:t>Les décisions du MPC peuvent faire l’objet d’un recours devant la Cour de céans (art. 393 al. 1 let. a CPP et art. 37 al. 1 de la loi fédérale du 19 mars 2010 sur l'organisation des autorités pénales [LOAP; RS 173.71]).</w:t>
      </w:r>
    </w:p>
    <w:p>
      <w:r>
        <w:rPr>
          <w:b/>
        </w:rPr>
        <w:t>E. 1.3</w:t>
      </w:r>
    </w:p>
    <w:p>
      <w:r>
        <w:t>Le recours est recevable à la condition que le recourant dispose d'un intérêt juridiquement protégé à l'annulation ou à la modification de la décision entreprise (art. 382 al. 1 CPP ; arrêt du Tribunal fédéral 1B_458/2013 du</w:t>
      </w:r>
    </w:p>
    <w:p>
      <w:r>
        <w:rPr>
          <w:b/>
        </w:rPr>
        <w:t>E. 1.3.1</w:t>
      </w:r>
    </w:p>
    <w:p>
      <w:r>
        <w:t>En l’espèce, le 2 mars 2017, le MPC a rejeté la requête de levée de séquestre présentée par la recourante, au motif que celle-ci n’avait notamment pas établi la qualité d’ayant droit économique du T. Trust, respectivement de l’ AA., sur les avoirs placés sous séquestre (act. 1.1).</w:t>
      </w:r>
    </w:p>
    <w:p>
      <w:r>
        <w:rPr>
          <w:b/>
        </w:rPr>
        <w:t>E. 1.3.2</w:t>
      </w:r>
    </w:p>
    <w:p>
      <w:r>
        <w:t>La recourante quant à elle fait valoir que S. AG était titulaire du compte séquestré sur la base d’une convention de fiducie, renouvelée à plusieurs reprises avec le Trustee du T. Trust, ce dernier ayant été constitué le 28 février 2002 (act. 1.5). Le Trustee susmentionné était initialement BB. Limited, ayant son siège à Chypre; sa raison sociale a été modifiée le 19 septembre 2012 en «A. Limited» (act. 1.6). Le 26 juillet 2012, S. AG a adressé un courrier au MPC en lui transmettant en particulier copie de la lettre du même jour envoyée à la banque R. avec copie du formulaire T, lequel indiquait expressément que l’ayant droit économique des fonds déposés sur le compte n. 1 est AA. comme bénéficiaire du T. Trust, qu’il s’agit d’un Trust discrétionnaire et irrévocable, que le settlor est CC. et que le bénéficiaire des fonds du trust est AA. (act. 1.9). Le 10 janvier 2014, A. Limited et S. AG ont mis un terme à leur relation de fiducie (act. 1.8). Par lettre du 26 mars 2014, la recourante a mis en demeure S. AG de restituer au T. Trust, par son intermédiaire, l’intégralité des actifs déposés sur le compte séquestré, toutefois sans résultat; un commandement de payer a aussi été notifié à S. AG à cet effet (act. 1.10, 1.11). En même temps, le conseil de la recourante a échangé de nombreuses correspondances avec le MPC, afin de prouver l’identité de l’ayant droit économique, produisant</w:t>
      </w:r>
    </w:p>
    <w:p>
      <w:r>
        <w:t>notamment un affidavit établis par la recourante le 28 septembre 2014, dans lequel elle affirmait l’absence de tout lien avec P. (act. 1.12-1.16).</w:t>
      </w:r>
    </w:p>
    <w:p>
      <w:r>
        <w:t>Dès lors, la recourante soutient que, S. AG ayant été radiée du registre de commerce le 9 janvier 2017, la qualité pour solliciter la levée du séquestre reviendrait maintenant à l’ayant droit économique des avoirs séquestrés. Par conséquent la recourante, en tant que trustee de l’ayant droit économique des fonds en question, bénéficierait de la qualité pour recourir (act. 1 p. 10).</w:t>
      </w:r>
    </w:p>
    <w:p>
      <w:r>
        <w:rPr>
          <w:b/>
        </w:rPr>
        <w:t>E. 1.3.3</w:t>
      </w:r>
    </w:p>
    <w:p>
      <w:r>
        <w:t>En l’occurrence, le formulaire T susmentionné, daté du 26 juillet 2012, a été transmis à la banque R. par lettre du même jour. Ce formulaire était signé par O. et indiquait AA. comme bénéficiaire du T. Trust et CC. comme settlor. Il était censé remplacer le formulaire A du 28 mars 2008, lui aussi signé par O., qui désignait CC. comme ayant droit économique des valeurs sous séquestre, soit des obligations DD. pour AUD 50'000'000.</w:t>
      </w:r>
    </w:p>
    <w:p>
      <w:r>
        <w:t>Néanmoins, la banque R. n’a pas accepté d’appliquer le changement d’ayant-droit selon ledit formulaire T (act. 13.1). Premièrement, il lui paraissait que les clarifications fournies par O. afin de justifier ce changement d’ayant droit économique étaient insuffisantes: en effet, le formulaire A signé par O. le 23 novembre 2000 indiquait S. AG comme ayant droit économique du compte en question; par la suite, en 2008, un nouveau formulaire A signé par O. désignait CC. comme bénéficiaire de la somme de AUD 50'000'000. Deuxièmement, la banque avait connaissance de la procédure pénale en cours. Troisièmement, le formulaire T présentait des incohérences, notamment la mention d’une société tierce – EE. Limited à Saint-Vincent – sous la mention contracting partner en lieu et place de S. AG. Quatrièmement, le formulaire lui-même semblait être une photocopie, seule la signature de O. paraissant originale (v. act. 6.1, 6.2, 13.1). Enfin, la mention de CC. en tant que settlor ne correspondait pas au Trust Deed, qui indiquait comme settlor FF. (act. 6.3).</w:t>
      </w:r>
    </w:p>
    <w:p>
      <w:r>
        <w:t>En outre, il découle du rapport du 15 octobre 2015 établi par le CCEF (aujourd’hui Division Analyse Financière Forensique) que le formulaire A daté du 28 mars 2008 et signé par O. ne correspondrait pas à la réalité: lors de son audition du 11 juillet 2012, CC. a en effet indiqué n’avoir jamais détenu un compte en Suisse, a nié être l’ayant droit économique du compte séquestré et a contesté avoir des liens avec le T. Trust (act. 13.1, p. 2)</w:t>
      </w:r>
    </w:p>
    <w:p>
      <w:r>
        <w:t>Par ailleurs, la qualité de créancier de A. Limited n’a jamais été admise par le liquidateur de S. AG non plus, à défaut de toute indication sur l’identité des bénéficiaires dans le Trust Deed (act. 6.4).</w:t>
      </w:r>
    </w:p>
    <w:p>
      <w:r>
        <w:rPr>
          <w:b/>
        </w:rPr>
        <w:t>E. 1.3.4</w:t>
      </w:r>
    </w:p>
    <w:p>
      <w:r>
        <w:t>Par conséquent, rien ne permet de retenir, à l’appui de la qualité pour agir de la recourante et selon la jurisprudence susdite, que les documents issus de la dissolution de S. AG permettent de déterminer clairement l’ayant droit économique des fonds. L’indication de AA. comme bénéficiaire ressort seulement du formulaire T daté du 26 juillet 2012 – formulaire que la banque a refusé d’appliquer et qui contient des contradictions évidentes – et non pas du Trust Deed ou d’autres pièces du dossier. Partant, la qualité pour recourir ne peut être reconnue à A. Limited.</w:t>
      </w:r>
    </w:p>
    <w:p>
      <w:r>
        <w:rPr>
          <w:b/>
        </w:rPr>
        <w:t>E. 1.4</w:t>
      </w:r>
    </w:p>
    <w:p>
      <w:r>
        <w:t>Le recours est par conséquent irrecevable.</w:t>
      </w:r>
    </w:p>
    <w:p>
      <w:r>
        <w:t>2. En tant que partie qui succombe, la recourante se voit mettre à charge les frais, et ce en application de l'art. 428 al. 1 CPP, selon lequel les frais de la procédure de recours sont mis à la charge des parties dans la mesure où elles ont obtenu gain de cause ou succombé; la partie dont le recours est irrecevable ou qui retire le recours étant également considérée avoir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3. 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du RFPPF, lorsque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d'un montant de CHF 2’000.-- ex aequo et bono attribuée solidairement aux fonds B. Limited, C. Limited, D. Limited, E. Limited, F. Limited, G. Limited, H. Limited, I. Limited, J. Limited, K. Limited, L. LP, M. LP et N. LP paraît équitable et sera mise à la charge de la recourante.</w:t>
      </w:r>
    </w:p>
    <w:p>
      <w:r>
        <w:rPr>
          <w:b/>
        </w:rPr>
        <w:t>E. 6</w:t>
      </w:r>
    </w:p>
    <w:p>
      <w:r>
        <w:t>mars 2014, consid. 2.1). Le recourant doit avoir subi une lésion, soit un préjudice causé par l'acte qu'il attaque et doit avoir un intérêt à l'élimination de ce préjudice. Cet intérêt doit être actuel (décisions du Tribunal pénal fédéral BB.2013.188 du 12 août 2014, consid. 1.4; BB.2013.89 du 24 octobre 2013, consid. 1.3; BB.2013.88 du 13 septembre 2013, consid. 1.4 et références citées). Un intérêt juridiquement protégé doit être reconnu à celui qui jouit sur les valeurs confisquées d'un droit de propriété ou d'un droit réel limité (notamment un droit de gage; arrêt du Tribunal fédéral 1B.94/2012 du 2 avril 2012, consid. 2.1). Tel n'est en revanche pas le cas du tiers ne bénéficiant sur l'objet confisqué que de droits personnels (bail, prêt, mandat, créance, etc.; arrêt du Tribunal fédéral 6S.667/2000 du 19 février 2001, consid. 2c, rendu en relation avec l'art. 270 let. h de l'ancienne loi fédérale sur la procédure pénale mais dont les principes restent applicables, v. arrêt 1B.94/2012 susmentionné, consid. 2.1; décision du Tribunal pénal fédéral BB.2012.75 du 19 décembre 2012, consid. 1.3.1). La qualité pour recourir doit donc être déniée au détenteur économique (actionnaire d'une société ou fiduciant) d'un compte, dans la mesure où il n'est qu'indirectement touché, la qualité d'ayant droit économique ne fondant pas un intérêt juridiquement protégé (arrêt du Tribunal fédéral 1B_390/2015 du 16 décembre 2015, consid. 2.1 et les références citées). S'agissant par contre de l'ayant droit d'une personne morale dissoute, la jurisprudence admet exceptionnellement</w:t>
      </w:r>
    </w:p>
    <w:p>
      <w:r>
        <w:t>sa qualité pour recourir s'il démontre, à l'appui de documents officiels, que la société a été liquidée (arrêts du Tribunal fédéral 1A.10/2000 du 18 mai 2000, consid. 1e; 1A.131/1999 du 26 août 1999, consid. 3 et 1A.236/1998 du 25 janvier 1999, consid. 1b/bb, jurisprudence citée dans l'arrêt du Tribunal fédéral 1A.212/2001 du 21 mars 2002, consid. 1.3.2; TPF 2007 158; arrêt du Tribunal pénal fédéral RR.2009.151-154 du 11 septembre 2009, consid. 1.3.2 ; GUIDON, Die Beschwerde gemäss Schweizerischer Strafprozessordnung, Zurich/St. Gall 2011, p. 126), sous réserve de l'abus de droit (ATF 137 IV 134 consid. 5.2.1; 123 II 153 consid. 2c et dd p. 157/158). Il faut en outre que l'acte de dissolution indique clairement l'ayant droit comme son bénéficiaire (arrêt du Tribunal fédéral 1A.84/1999 du 31 mai 1999, consid. 2c, jurisprudence également citée dans l'arrêt du Tribunal fédéral 1A.212/2001 du 21 mars 2002, consid. 1.3.2; TPF 2009 183; arrêts du Tribunal pénal fédéral RR.2007.182 du 17 juillet 2008, consid. 2; RR.2007.52 du 13 juin 2007, consid. 3). En particulier, la production du formulaire A signé par l’ayant droit économique du compte détenu par une société dissoute n’est pas suffisante à attester de sa qualité de bénéficiaire de la dissolution de cette société (TPF 2009 183).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