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BB.2017.41 vom 3. März 2017</w:t>
      </w:r>
    </w:p>
    <w:p>
      <w:r>
        <w:t>Bundesstrafgericht, 2017-03-03, DE</w:t>
      </w:r>
    </w:p>
    <w:p>
      <w:r>
        <w:rPr>
          <w:b/>
        </w:rPr>
        <w:t xml:space="preserve">Quelle: </w:t>
      </w:r>
      <w:r>
        <w:t>https://mcp.opencaselaw.ch/entscheid/bstger_BB.2017.41</w:t>
      </w:r>
    </w:p>
    <w:p>
      <w:r>
        <w:t>FR: TPF BB.2017.41 du 3 mars 2017</w:t>
      </w:r>
    </w:p>
    <w:p>
      <w:r>
        <w:t>IT: TPF BB.2017.41 del 3 marzo 2017</w:t>
      </w:r>
    </w:p>
    <w:p>
      <w:pPr>
        <w:pStyle w:val="Heading2"/>
      </w:pPr>
      <w:r>
        <w:t>Regeste</w:t>
      </w:r>
    </w:p>
    <w:p>
      <w:r>
        <w:t>Nichtanhandnahmeverfügung (Art. 310 i.V.m Art. 322 Absw.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seit der Zustellung oder Eröffnung schriftlich und begründet bei der Beschwerdekammer des Bundesstrafgerichts erhoben werden kann;</w:t>
      </w:r>
    </w:p>
    <w:p>
      <w:r>
        <w:t>- Eingaben spätestens am letzten Tage der Frist der Behörde eingereicht oder zu deren Handen der schweizerischen Post oder einer schweizerischen dip- lomatischen oder konsularischen Vertretung übergeben werden müssen (Art. 91 Abs. 2 StPO);</w:t>
      </w:r>
    </w:p>
    <w:p>
      <w:r>
        <w:t>- nach der Rechtsprechung die Unterschrift eigenhändig auf dem Schriftdoku- ment angebracht werden muss, weshalb bei Eingaben, die der Schriftform bedürfen, die Einreichung per Telefax zur Fristwahrung nicht genügt (BGE 121 II 252 E. 3 f.; Urteile 6B_997/2016 vom 10. November 2016, E.2, 6B_51/2015 vom 28. Oktober 2015 E. 2.2; 2C_531/2015 vom 18. Juni 2015 E. 2.1; 1B_160/2013 vom 17. Mai 2013 E. 2.1; je mit Hinweisen);</w:t>
      </w:r>
    </w:p>
    <w:p>
      <w:r>
        <w:t>- die Beschwerdefrist von 10 Tagen vorliegend am 9. Februar 2017 zu laufen begann und am Montag, 20. Februar 2017, endete; der Beschwerdeführer in der Rechtsmittelbelehrung der Nichtanhandnahmeverfügung vom 1. Feb- ruar 2017 über diese Frist aufgeklärt wurde;</w:t>
      </w:r>
    </w:p>
    <w:p>
      <w:r>
        <w:t>- der Eingabe via Telefax vom 20. Februar 2017 um 16:56 keine fristwahrende Wirkung zukommt;</w:t>
      </w:r>
    </w:p>
    <w:p>
      <w:r>
        <w:t>- die Eingabe des Originals der Beschwerde mit Übergabe an die deutsche Post am 22. Februar 2017 sich in jedem Fall als verspätet erweist;</w:t>
      </w:r>
    </w:p>
    <w:p>
      <w:r>
        <w:t>- auf die Beschwerde daher nicht einzutreten ist;</w:t>
      </w:r>
    </w:p>
    <w:p>
      <w:r>
        <w:t>- der Beschwerdeführer bei diesem Ausgang des Verfahrens kostenpflichtig wird (Art. 428 Abs. 1 StPO);</w:t>
      </w:r>
    </w:p>
    <w:p>
      <w:r>
        <w:t>- die Gerichtsgebühr festzusetzen ist auf Fr. 300.-- (Art. 73 StBOG sowie Art. 5 und 8 Abs. 3 lit. a des Reglements des Bundesstrafgerichts vom 31. August 2010 über die Kosten, Gebühren und Entschädigungen in Bundesstrafver- fahren [BStKR; SR 173.713.162]).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