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BB.2017.39 vom 3. April 2017</w:t>
      </w:r>
    </w:p>
    <w:p>
      <w:r>
        <w:t>Bundesstrafgericht, 2017-04-03, IT</w:t>
      </w:r>
    </w:p>
    <w:p>
      <w:r>
        <w:rPr>
          <w:b/>
        </w:rPr>
        <w:t xml:space="preserve">Quelle: </w:t>
      </w:r>
      <w:r>
        <w:t>https://mcp.opencaselaw.ch/entscheid/bstger_BB.2017.39</w:t>
      </w:r>
    </w:p>
    <w:p>
      <w:r>
        <w:t>FR: TPF BB.2017.39 du 3 avril 2017</w:t>
      </w:r>
    </w:p>
    <w:p>
      <w:r>
        <w:t>IT: TPF BB.2017.39 del 3 aprile 2017</w:t>
      </w:r>
    </w:p>
    <w:p>
      <w:pPr>
        <w:pStyle w:val="Heading2"/>
      </w:pPr>
      <w:r>
        <w:t>Regeste</w:t>
      </w:r>
    </w:p>
    <w:p>
      <w:r>
        <w:t>Perquisizione domiciliare (art. 244 e seg. CPP). Sequestro (art. 263 e segg. CPP).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In virtù degli art. 393 cpv. 1 lett. a del Codice di diritto processuale penale sviz- zero del 5 ottobre 2007 (CPP; RS 312.0) e 37 cpv. 1 della legge federale del 19 marzo 2010 sull’organizzazione delle autorità penali della Confederazione (LOAP; RS 173.71), la Corte dei reclami penali del Tribunale penale federale giudica i gravami contro le decisioni e gli atti procedurali del MPC.</w:t>
      </w:r>
    </w:p>
    <w:p>
      <w:r>
        <w:t>Il Tribunale penale federale esamina d'ufficio e con piena cognizione l'ammissi- bilità dei reclami che gli sono sottoposti senza essere vincolato, in tale ambito, dagli argomenti delle parti o dalle loro conclusioni (v. art. 391 cpv. 1 e 393 cpv.</w:t>
      </w:r>
    </w:p>
    <w:p>
      <w:r>
        <w:rPr>
          <w:b/>
        </w:rPr>
        <w:t>E. 1.2</w:t>
      </w:r>
    </w:p>
    <w:p>
      <w:r>
        <w:t>Sono legittimate ad interporre reclamo contro una decisione le parti che hanno un interesse giuridicamente protetto all’annullamento o alla modifica della stessa (art. 382 cpv. 1 CPP). Il reclamo contro decisioni comunicate per iscritto od oralmente va presentato e motivato entro dieci giorni (art. 396 CPP). Giusta l'art. 393 cpv. 2 CPP, mediante il reclamo si possono censurare le violazioni del diritto, compreso l’eccesso e l’abuso del potere di apprezzamento e la denegata o ritardata giustizia (lett. a), l’accertamento inesatto o incompleto dei fatti (lett. b) e l’inadeguatezza (lett. c).</w:t>
      </w:r>
    </w:p>
    <w:p>
      <w:r>
        <w:rPr>
          <w:b/>
        </w:rPr>
        <w:t>E. 1.3.1</w:t>
      </w:r>
    </w:p>
    <w:p>
      <w:r>
        <w:t>Un interesse giuridicamente protetto all’annullamento o alla modifica di una de- cisione è dato quando il reclamante stesso è direttamente toccato nei suoi diritti (sul tema v. GUIDON, op. cit., n. 232 e segg.; SCHMID, Handbuch des schweize- rischen Strafprozessrechts, 2a ediz., Zurigo/San Gallo 2013, n. 1458; v. anche sentenze del Tribunale federale 1B_669/2012 del 12 marzo 2013 e 1B_657/2012 dell’8 marzo 2013, consid. 2.3.1 in fine; 1B_94/2012 del 2 aprile 2012, consid. 2.1)</w:t>
      </w:r>
    </w:p>
    <w:p>
      <w:r>
        <w:rPr>
          <w:b/>
        </w:rPr>
        <w:t>E. 1.3.2</w:t>
      </w:r>
    </w:p>
    <w:p>
      <w:r>
        <w:t>In concreto, solo la perquisizione avvenuta nei locali della ditta individuale A. tocca personalmente il reclamante. Egli non è invece toccato direttamente nei suoi diritti dalle perquisizioni avvenute nei locali di E. SA, F. Sagl e G. SA. Even- tuali funzioni ufficiali del reclamante all’interno di tali società nulla mutano a tale conclusione (cfr. GUIDON, op. cit., n. 235 con riferimenti), dato che il reclamo è stato comunque presentato a suo nome. Nella misura in cui indirizzato avverso gli ordini di perquisizione relativi ai locali delle suddette società, il reclamo deve essere dichiarato inammissibile.</w:t>
      </w:r>
    </w:p>
    <w:p>
      <w:r>
        <w:t>- 4 -</w:t>
      </w:r>
    </w:p>
    <w:p>
      <w:r>
        <w:rPr>
          <w:b/>
        </w:rPr>
        <w:t>E. 1.4.1</w:t>
      </w:r>
    </w:p>
    <w:p>
      <w:r>
        <w:t>Secondo la giurisprudenza, l’interesse all’annullamento o alla modifica di una decisione giusta l’art. 382 cpv. 1 CPP deve inoltre essere pratico e attuale (v. sentenze 1B_669/2012 e 1B_657/2012, consid. 2.3.1).</w:t>
      </w:r>
    </w:p>
    <w:p>
      <w:r>
        <w:rPr>
          <w:b/>
        </w:rPr>
        <w:t>E. 1.4.2</w:t>
      </w:r>
    </w:p>
    <w:p>
      <w:r>
        <w:t>La qui contestata perquisizione dei locali della ditta individuale del reclamante è oramai già avvenuta, per cui l’interesse attuale e pratico di cui sopra fa difetto (v. DTF 118 IV 67 consid. 1c; TPF 2004 34 consid. 2.2; decisione del Tribunale penale federale BB.2012.158 del 7 giugno 2013, consid. 1.2.1). Nella fattispecie non emergono altresì questioni di principio con sufficiente interesse pubblico perché tale misura venga eccezionalmente esaminata (v. DTF 136 II 101 con- sid. 1.1; 137 I 220 consid. 2.2; sentenza del Tribunale penale federale BB.2013.173 e 174 del 24 gennaio 2014, consid. 1.3.2). Visto quanto precede, il gravame deve essere dichiarato inammissibile anche per quanto concerne la perquisizione dei locali della ditta individuale del reclamante.</w:t>
      </w:r>
    </w:p>
    <w:p>
      <w:r>
        <w:rPr>
          <w:b/>
        </w:rPr>
        <w:t>E. 2</w:t>
      </w:r>
    </w:p>
    <w:p>
      <w:r>
        <w:t>Con il suo gravame il reclamante ha unicamente contestato le perquisizioni in- tervenute il 23 febbraio 2016, segnatamente le modalità con cui il MPC ha otte- nuto le informazioni relative all’ubicazione della documentazione concernente D. SA. Egli non ha per contro formulato e motivato critiche avverso i sequestri (o messe al sicuro, come definite dal MPC) effettuati, sfociati del resto in una messa sotto sigillo della documentazione (v. act. 7 pag. 4). La postulata restitu- zione della documentazione avrebbe dovuto semplicemente essere la naturale conseguenza di un eventuale annullamento della perquisizione. Vi è dunque da concludere che il gravame è inammissibile nella sua integralità.</w:t>
      </w:r>
    </w:p>
    <w:p>
      <w:r>
        <w:rPr>
          <w:b/>
        </w:rPr>
        <w:t>E. 3</w:t>
      </w:r>
    </w:p>
    <w:p>
      <w:r>
        <w:t>del regolamento del 31 agosto 2010 sulle spese, gli emolumenti, le ripetibili e le indennità della procedura penale federale (RSPPF; RS 173.713.162), ed è fissata nella fattispecie a fr. 1'000.--.</w:t>
      </w:r>
    </w:p>
    <w:p>
      <w:r>
        <w:t>- 5 -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