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BB.2017.211 vom 14. Dezember 2017</w:t>
      </w:r>
    </w:p>
    <w:p>
      <w:r>
        <w:t>Bundesstrafgericht, 2017-12-14, DE</w:t>
      </w:r>
    </w:p>
    <w:p>
      <w:r>
        <w:rPr>
          <w:b/>
        </w:rPr>
        <w:t xml:space="preserve">Quelle: </w:t>
      </w:r>
      <w:r>
        <w:t>https://mcp.opencaselaw.ch/entscheid/bstger_BB.2017.211</w:t>
      </w:r>
    </w:p>
    <w:p>
      <w:r>
        <w:t>FR: TPF BB.2017.211 du 14 décembre 2017</w:t>
      </w:r>
    </w:p>
    <w:p>
      <w:r>
        <w:t>IT: TPF BB.2017.211 del 14 dicembre 2017</w:t>
      </w:r>
    </w:p>
    <w:p>
      <w:pPr>
        <w:pStyle w:val="Heading2"/>
      </w:pPr>
      <w:r>
        <w:t>Regeste</w:t>
      </w:r>
    </w:p>
    <w:p>
      <w:r>
        <w:t>Revision (Art. 410 StPO).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September 2017; BB.2017.104 vom 20. Juni 2017; BB.2016.353 vom 5. Oktober 2016; je m.w.H.);</w:t>
      </w:r>
    </w:p>
    <w:p>
      <w:r>
        <w:t>- 3 -</w:t>
      </w:r>
    </w:p>
    <w:p>
      <w:r>
        <w:t>- es sich bei dem mit seinem Revisionsgesuch anvisierten Entscheid der Be- schwerdekammer nicht um ein Urteil, sondern um einen Beschluss handelt (siehe zur Unterscheidung Art. 80 Abs. 1 StPO), wofür die Revision eben nicht möglich ist;</w:t>
      </w:r>
    </w:p>
    <w:p>
      <w:r>
        <w:t>- sich das vorliegende Gesuch daher als offensichtlich unzulässig erweist, weshalb auf dieses ohne Durchführung eines Schriftenwechsels nicht einzu- treten ist (Art. 390 Abs. 2 StPO e contrario);</w:t>
      </w:r>
    </w:p>
    <w:p>
      <w:r>
        <w:t>- bei diesem Ausgang des Verfahrens der Gesuchsteller die Gerichtskosten zu tragen hat (Art. 428 Abs. 1 StPO); die Gerichtsgebühr auf Fr. 300.– fest- zusetzen ist (Art. 73 StBOG i.V.m. Art. 5 und Art.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