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BB.2017.202 vom 14. März 2018</w:t>
      </w:r>
    </w:p>
    <w:p>
      <w:r>
        <w:t>Bundesstrafgericht, 2018-03-14, FR</w:t>
      </w:r>
    </w:p>
    <w:p>
      <w:r>
        <w:rPr>
          <w:b/>
        </w:rPr>
        <w:t xml:space="preserve">Quelle: </w:t>
      </w:r>
      <w:r>
        <w:t>https://mcp.opencaselaw.ch/entscheid/bstger_BB.2017.202</w:t>
      </w:r>
    </w:p>
    <w:p>
      <w:r>
        <w:t>FR: TPF BB.2017.202 du 14 mars 2018</w:t>
      </w:r>
    </w:p>
    <w:p>
      <w:r>
        <w:t>IT: TPF BB.2017.202 del 14 marzo 2018</w:t>
      </w:r>
    </w:p>
    <w:p>
      <w:pPr>
        <w:pStyle w:val="Heading2"/>
      </w:pPr>
      <w:r>
        <w:t>Regeste</w:t>
      </w:r>
    </w:p>
    <w:p>
      <w:r>
        <w:t>Mandat à un expert (art. 184 CPP).</w:t>
      </w:r>
    </w:p>
    <w:p>
      <w:pPr>
        <w:pStyle w:val="Heading2"/>
      </w:pPr>
      <w:r>
        <w:t>Erwägungen</w:t>
      </w:r>
    </w:p>
    <w:p>
      <w:r>
        <w:rPr>
          <w:b/>
        </w:rPr>
        <w:t>E. 1.1</w:t>
      </w:r>
    </w:p>
    <w:p>
      <w:r>
        <w:t>En tant qu'autorité de recours, la Cour des plaintes examine avec plein pou- voir de cognition en fait et en droit les recours qui lui sont soumis (Message du 21 décembre 2005 relatif à l'unification du droit de la procédure pénale, FF 2006 1057, p. 1296 in fine; GUIDON, Commentaire bâlois, Schweizerische Strafprozessordnung, 2e éd., 2014, n° 15 ad art. 393 CPP; KELLER, DO- NATSCH/HANSJAKOB/LIEBER [édit.], Kommentar zur Schweizerischen Straf- prozessordnung [StPO], 2e éd 2014, n° 39 ad art. 393 CPP; SCHMID, Hand- buch des schweizerischen Strafprozessrechts, 3e éd. 2017, n° 1512).</w:t>
      </w:r>
    </w:p>
    <w:p>
      <w:r>
        <w:rPr>
          <w:b/>
        </w:rPr>
        <w:t>E. 1.2</w:t>
      </w:r>
    </w:p>
    <w:p>
      <w:r>
        <w:t>Les décisions du MPC peuvent faire l'objet d'un recours devant la Cour de céans (art. 393 al. 1 let. a CPP et 37 al. 1 de la loi fédérale du 19 mars 2010 sur l'organisation des autorités pénales de la Confédération [LOAP; RS 173.71]).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w:t>
      </w:r>
    </w:p>
    <w:p>
      <w:r>
        <w:t>Le recours contre les décisions notifiées par écrit ou oralement est motivé et adressé par écrit, dans le délai de dix jours, à l'autorité de recours (art. 396 al. 1 CPP). Ce délai a été, en l'espèce, respecté.</w:t>
      </w:r>
    </w:p>
    <w:p>
      <w:r>
        <w:rPr>
          <w:b/>
        </w:rPr>
        <w:t>E. 1.4</w:t>
      </w:r>
    </w:p>
    <w:p>
      <w:r>
        <w:t>Le recours est recevable à la condition que le recourant dispose d'un intérêt juridiquement protégé à l'annulation ou à la modification de la décision en- treprise (art. 382 al. 1 CPP). S'agissant de la décision de nommer ou du refus de nommer un expert, elle peut faire l’objet d’un recours conformément à l’art. 392 al. 1 let. a CPP durant la procédure préliminaire (VUILLE, Commen- taire romand, Code de procédure pénale, 2011, n° 31 ad art. 182 CPP).</w:t>
      </w:r>
    </w:p>
    <w:p>
      <w:r>
        <w:t>- 4 -</w:t>
      </w:r>
    </w:p>
    <w:p>
      <w:r>
        <w:rPr>
          <w:b/>
        </w:rPr>
        <w:t>E. 1.5</w:t>
      </w:r>
    </w:p>
    <w:p>
      <w:r>
        <w:t>En l’espèce, la légitimation à recourir doit être reconnue à A. en tant que prévenu et partie visée par l’expertise psychiatrique.</w:t>
      </w:r>
    </w:p>
    <w:p>
      <w:r>
        <w:rPr>
          <w:b/>
        </w:rPr>
        <w:t>E. 2</w:t>
      </w:r>
    </w:p>
    <w:p>
      <w:r>
        <w:t>Le recourant s’en prend, en substance, au principe même de l’expertise psy- chiatrique. Il allègue à cet égard une violation des art. 251 al. 3 et 4 CPP.</w:t>
      </w:r>
    </w:p>
    <w:p>
      <w:r>
        <w:rPr>
          <w:b/>
        </w:rPr>
        <w:t>E. 2.1</w:t>
      </w:r>
    </w:p>
    <w:p>
      <w:r>
        <w:t>La compétence générale pour ordonner des mesures de contrainte au cours de l’instruction incombe en particulier au Ministère public selon l’art. 198 al. 1 let. a CPP en lien avec l’art. 61 let. a CPP. Parmi les mesures à sa disposi- tion, figure la compétence pour ordonner une expertise. Tel sera le cas lorsqu’il ne dispose pas des connaissances et des capacités nécessaires pour constater ou juger un état de fait (art. 182 CPP).</w:t>
      </w:r>
    </w:p>
    <w:p>
      <w:r>
        <w:t>L’examen de la personne a pour objet le corps humain et peut porter sur l’ensemble du corps ou sur certaines parties de celui-ci seulement, à titre externe ou à titre interne. Conformément à l’art. 251 al. 1 CPP, il comprend également son examen mental ou psychologique en permettant, par exemple, de déterminer le degré de responsabilité de la personne poursuivie (art. 19 CP), son aptitude à prendre part au procès pénal (art. 114 CP) ou à supporter une incarcération (art. 251 al. 2 let. b CPP). L’examen mental pourra en outre déterminer le choix d’une mesure pénologique (art. 56 ss CP), et établir le degré de fiabilité d’un témoignage ou d’une déclaration de partie (PIQUEREZ/MACALUSO, Procédure pénale suisse, 3e éd. 2011, n° 1425). L’examen de la personne portant davantage atteinte aux libertés constitutionnelles que la fouille, il doit respecter la dignité humaine et le prin- cipe de proportionnalité. Le recours à des moyens intrusifs et invasifs induit alors des conditions à remplir plus strictes (GUENIAT/HAINARD, Commentaire romand, Code de procédure pénale, 2011, n° 7 ad art. 251 CPP). Ainsi, selon l’art. 251 al. 3 CP, des atteintes à l’intégrité corporelle du prévenu ne peuvent être ordonnées que si elles ne lui causent pas de douleurs particulières et ne nuisent pas à sa santé. La gravité de l’atteinte ainsi que le seuil d’admis- sibilité de celle-ci se déterminent sur la base de critères objectifs. Il n’est pas déterminant de savoir comment l’atteinte est subjectivement ressentie par la personne concernée par la mesure (ATF 124 I 80 consid. 2c; HAENNI, Com- mentaire bâlois, Schweizerische Strafprozessordnung, 2e éd. 2014, n° 60 ad art. 251/252 CPP).</w:t>
      </w:r>
    </w:p>
    <w:p>
      <w:r>
        <w:rPr>
          <w:b/>
        </w:rPr>
        <w:t>E. 2.2</w:t>
      </w:r>
    </w:p>
    <w:p>
      <w:r>
        <w:t>En l’espèce, il apparaît que le comportement en détention du recourant a nécessité des sanctions disciplinaires; ce dernier s’en serait notamment pris physiquement au personnel pénitentiaire. En outre, l’entier du dossier et l’attitude du prévenu durant la procédure amènent à s’interroger sur sa res- ponsabilité, ce d’autant qu’il refuse systématiquement de s’exprimer lors des</w:t>
      </w:r>
    </w:p>
    <w:p>
      <w:r>
        <w:t>- 5 -</w:t>
      </w:r>
    </w:p>
    <w:p>
      <w:r>
        <w:t>auditions menées par le MPC (act. 5.1, p. 1 et 2). Dès lors, une expertise psychiatrique du recourant semble nécessaire, ceci afin de répondre notam- ment aux questions susmentionnées (v. let. D). Il paraît à ce stade difficile d’imaginer comment une expertise psychiatrique, telle qu’envisagée en l’es- pèce, puisse aboutir à des mesures physiques intrusives. Le mandat d’ex- pertise ne contient par ailleurs aucune indication permettant de conclure à la mise en œuvre de mesure physique susceptible de porter atteinte à l’intégrité corporelle du recourant. De surcroît, ce dernier n’apporte aucun élément ren- dant vraisemblable qu’une expertise psychiatrique lui causerait des douleurs particulières et nuirait à sa santé de sorte à violer l’art. 251 CPP.</w:t>
      </w:r>
    </w:p>
    <w:p>
      <w:r>
        <w:rPr>
          <w:b/>
        </w:rPr>
        <w:t>E. 2.3</w:t>
      </w:r>
    </w:p>
    <w:p>
      <w:r>
        <w:t>Le grief invoqué par le recourant est par conséquent mal fondé.</w:t>
      </w:r>
    </w:p>
    <w:p>
      <w:r>
        <w:rPr>
          <w:b/>
        </w:rPr>
        <w:t>E. 3</w:t>
      </w:r>
    </w:p>
    <w:p>
      <w:r>
        <w:t>Les considérations qui précèdent conduisent au rejet du recours.</w:t>
      </w:r>
    </w:p>
    <w:p>
      <w:r>
        <w:rPr>
          <w:b/>
        </w:rPr>
        <w:t>E. 4</w:t>
      </w:r>
    </w:p>
    <w:p>
      <w:r>
        <w:t>En tant que partie qui succombe, le recourant se voit mettre à sa charge les frais, et ce en application de l’art. 428 al. 1 CPP, selon lequel les frais de la procédure de recours sont mis à la charge des parties dans la mesure où elles ont obtenu gain de cause ou succombé. Ceux-ci se limitent en l’espèce à un émolument, qui, en application des art. 5 et 8 al. 1 du règlement du Tribunal pénal fédéral du 31 août sur les frais, émoluments, dépens et in- demnités de la procédure pénale fédérale (RFPPF; RS 173.713.162), sera fixé à CHF 2'000.--, à la charge du recourant.</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