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 vom 20. März 2017</w:t>
      </w:r>
    </w:p>
    <w:p>
      <w:r>
        <w:t>Bundesstrafgericht, 2017-03-20, DE</w:t>
      </w:r>
    </w:p>
    <w:p>
      <w:r>
        <w:rPr>
          <w:b/>
        </w:rPr>
        <w:t xml:space="preserve">Quelle: </w:t>
      </w:r>
      <w:r>
        <w:t>https://mcp.opencaselaw.ch/entscheid/bstger_BB.2017.2</w:t>
      </w:r>
    </w:p>
    <w:p>
      <w:r>
        <w:t>FR: TPF BB.2017.2 du 20 mars 2017</w:t>
      </w:r>
    </w:p>
    <w:p>
      <w:r>
        <w:t>IT: TPF BB.2017.2 del 20 marzo 2017</w:t>
      </w:r>
    </w:p>
    <w:p>
      <w:pPr>
        <w:pStyle w:val="Heading2"/>
      </w:pPr>
      <w:r>
        <w:t>Regeste</w:t>
      </w:r>
    </w:p>
    <w:p>
      <w:r>
        <w:t>Beschlagnahme (Art. 263 ff. StPO).</w:t>
      </w:r>
    </w:p>
    <w:p>
      <w:pPr>
        <w:pStyle w:val="Heading2"/>
      </w:pPr>
      <w:r>
        <w:t>Erwägungen</w:t>
      </w:r>
    </w:p>
    <w:p>
      <w:r>
        <w:rPr>
          <w:b/>
        </w:rPr>
        <w:t>E. 1</w:t>
      </w:r>
    </w:p>
    <w:p>
      <w:r>
        <w:t>Die Beschwerdeverfahren BB.2017.2-6 haben die gleichen Parteien und den gleichen Verfahrensgegenstand. Sie unterscheiden sich nur durch die be- schlagnahmten Vermögenswerte und sind, wie auch von den Parteien über- einstimmend beantragt (BB.2017.2-6 act. 6 S. 2 Ziff. 2; act. 4 S. 1), zu verei- nen.</w:t>
      </w:r>
    </w:p>
    <w:p>
      <w:r>
        <w:t>- 4 -</w:t>
      </w:r>
    </w:p>
    <w:p>
      <w:r>
        <w:rPr>
          <w:b/>
        </w:rPr>
        <w:t>E. 2.1</w:t>
      </w:r>
    </w:p>
    <w:p>
      <w:r>
        <w:t>Beschwerdevoraussetzung ist, dass ein rechtlich geschütztes Interesse an der Aufhebung oder Änderung eines Entscheides besteht (Art. 382 Abs. 2 StPO; GUIDON, Die Beschwerde gemäss Schweizerischer Strafpro- zessordnung, Berner Diss., Zürich/ St. Gallen 2011, S. 100 N. 232, S. 109 N. 259). Soweit die BA die Kontosperren am 9. März 2017 aufgehoben hat (act. 14.1), fehlt es der Beschwerde an einem Anfechtungsobjekt und dem Beschwerdeführer an einer Beschwer: Das Verfahren ist insoweit gegen- standslos geworden und entsprechend von der Geschäftskontrolle als erle- digt abzuschreiben.</w:t>
      </w:r>
    </w:p>
    <w:p>
      <w:r>
        <w:rPr>
          <w:b/>
        </w:rPr>
        <w:t>E. 2.2</w:t>
      </w:r>
    </w:p>
    <w:p>
      <w:r>
        <w:t>Für den übrigen Verfahrensteil hat der Beschwerdeführer die Beschwerde zurückgezogen (act. 14). Diesbezüglich ist die Beschwerde zufolge Rück- zugs abzuschreiben.</w:t>
      </w:r>
    </w:p>
    <w:p>
      <w:r>
        <w:rPr>
          <w:b/>
        </w:rPr>
        <w:t>E. 3.1</w:t>
      </w:r>
    </w:p>
    <w:p>
      <w:r>
        <w:t>In der StPO fehlt eine gesetzliche Grundlage, um bei einvernehmlichen Ver- fahrenserledigungen von Gerichtskosten Umgang zu nehmen. Dies wäre al- lenfalls unter Berücksichtigung der wirtschaftlichen Verhältnisse der kosten- pflichtigen Person möglich (Art. 425 StPO; DOMEISEN, Basler Kommentar, 2. Aufl., 2014, N. 3 zu Art. 425 StPO), was vorliegend ausscheidet.</w:t>
      </w:r>
    </w:p>
    <w:p>
      <w:r>
        <w:rPr>
          <w:b/>
        </w:rPr>
        <w:t>E. 3.2</w:t>
      </w:r>
    </w:p>
    <w:p>
      <w:r>
        <w:t>Bei diesem Ausgang des Verfahrens hat der Beschwerdeführer ein Drittel der Gerichtskosten zu tragen (Art. 428 Abs. 1 StPO). Die volle Gerichtsge- bühr wäre auf Fr. 600.-- festzusetzen (Art. 73 StBOG i.V.m. Art. 5 und 8 Abs. 1 des Reglements des Bundesstrafgerichts vom 31. August 2010 über die Kosten, Gebühren und Entschädigungen in Bundesstrafverfahren [BStKR; SR 173.713.162]). Dem Beschwerdeführer ist somit eine entspre- chend (auf einen Drittel) reduzierte Gebühr von Fr. 200.-- aufzuerlegen.</w:t>
      </w:r>
    </w:p>
    <w:p>
      <w:r>
        <w:t>Vom Verzicht auf eine Prozessentschädigung ist Vormerk zu nehmen.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