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BB.2017.194 vom 7. Dezember 2017</w:t>
      </w:r>
    </w:p>
    <w:p>
      <w:r>
        <w:t>Bundesstrafgericht, 2017-12-07, DE</w:t>
      </w:r>
    </w:p>
    <w:p>
      <w:r>
        <w:rPr>
          <w:b/>
        </w:rPr>
        <w:t xml:space="preserve">Quelle: </w:t>
      </w:r>
      <w:r>
        <w:t>https://mcp.opencaselaw.ch/entscheid/bstger_BB.2017.194</w:t>
      </w:r>
    </w:p>
    <w:p>
      <w:r>
        <w:t>FR: TPF BB.2017.194 du 7 décembre 2017</w:t>
      </w:r>
    </w:p>
    <w:p>
      <w:r>
        <w:t>IT: TPF BB.2017.194 del 7 dicembre 2017</w:t>
      </w:r>
    </w:p>
    <w:p>
      <w:pPr>
        <w:pStyle w:val="Heading2"/>
      </w:pPr>
      <w:r>
        <w:t>Regeste</w:t>
      </w:r>
    </w:p>
    <w:p>
      <w:r>
        <w:t>Rechtsverweigerung / Rechtsverzögerung (Art. 393 Abs. 2 lit. a StPO). Nichtanhandnahmeverfügung (Art. 310 i.V.m. Art. 322 Abs. 2 StPO). Aufschiebende Wirkung (Art. 387 StPO).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Aufl., Basel 2014, Art. 386 StPO N. 4);</w:t>
      </w:r>
    </w:p>
    <w:p>
      <w:r>
        <w:t>- mithin das Verfahren BB.2017.194 zufolge Rückzugs der Beschwerde abzu- schreiben ist;</w:t>
      </w:r>
    </w:p>
    <w:p>
      <w:r>
        <w:t>- gegen eine Nichtanhandnahmeverfügung der Bundesanwaltschaft die Be- schwerde nach den Vorschriften der Art. 393 ff. StPO an die Beschwerde- kammer des Bundesstrafgerichts zulässig ist (Art. 310 Abs. 2 i.V.m. Art. 322 Abs. 2 StPO und Art. 37 Abs. 1 StBOG);</w:t>
      </w:r>
    </w:p>
    <w:p>
      <w:r>
        <w:t>- der Streitgegenstand grundsätzlich durch die angefochtenen Verfügungen verbindlich festgelegt wird und vom Beschwerdeführer nicht frei bestimmt werden kann; die Beschwerdekammer nicht Gegenstände beurteilen kann, über welche die vorinstanzliche Strafbehörde nicht entschieden hat (vgl. zu- letzt u.a. Beschluss des Bundesstrafgerichts BB.2016.372 vom 21. Ap- ril 2017, E. 1.2 m.w.H.); soweit der Beschwerdeführer (künftige) Aktenein- sicht im Verfahren der Beschwerdegegnerin verlangt (BB.2017.203, act. 1 S. 3), welche gar nicht Gegenstand der angefochtenen Verfügung bildet, nachfolgend nicht darauf einzugehen ist;</w:t>
      </w:r>
    </w:p>
    <w:p>
      <w:r>
        <w:t>- vorliegend die Frage, inwieweit der Beschwerdeführer im Einzelnen zur Be- schwerde legitimiert ist, offen bleiben kann, da sie aus nachfolgenden Grün- den ohnehin abzuweisen ist;</w:t>
      </w:r>
    </w:p>
    <w:p>
      <w:r>
        <w:t>- 5 -</w:t>
      </w:r>
    </w:p>
    <w:p>
      <w:r>
        <w:t>- die Strafbehörden verpflichtet sind, alle Straftaten, die sie bei ihrer amtlichen Tätigkeit festgestellt haben oder die ihnen gemeldet worden sind, der zustän- digen Behörde anzuzeigen, soweit sie für die Verfolgung nicht selber zustän- dig sind (Art. 302 Abs. 1 StPO); hiervon absolute Bagatellübertretungen und offensichtlich unhaltbare oder trölerische Strafanzeigen ausgenommen sind (HAGENSTEIN, Basler Kommentar, a.a.O., Art. 302 StPO N. 20 m.w.H.; vgl. BGE 109 IV 46 E. 3 am Ende);</w:t>
      </w:r>
    </w:p>
    <w:p>
      <w:r>
        <w:t>- die Staatsanwaltschaft die Nichtanhandnahme verfügt, sobald aufgrund der Strafanzeige oder des Polizeirapports feststeht, dass die fraglichen Straftat- bestände oder die Prozessvoraussetzungen eindeutig nicht erfüllt sind (Art. 310 Abs. 1 lit. a StPO);</w:t>
      </w:r>
    </w:p>
    <w:p>
      <w:r>
        <w:t>- der Beschwerdeführer mit Eingabe vom 16. Februar 2017 in erster Linie drei Bundesrichtern, einem Oberstaatsanwalt des Kantons Zürich und einem Staatsanwalt der Staatsanwaltschaft Winterthur/Unterland vorwirft, sich im Rahmen ihrer amtlichen Tätigkeit strafbar gemacht zu haben;</w:t>
      </w:r>
    </w:p>
    <w:p>
      <w:r>
        <w:t>- der Eingabe des Beschwerdeführers vom 16. Februar 2017 keine Anhalts- punkte entnommen werden können, die einen hinreichenden Tatverdacht begründen könnten;</w:t>
      </w:r>
    </w:p>
    <w:p>
      <w:r>
        <w:t>- die Beschwerdegegnerin mithin berechtigt war, eine Nichtanhandnahmever- fügung zu erlassen und im Übrigen auf eine Weiterleitung an die zuständige Strafverfolgungsbehörde zu verzichten;</w:t>
      </w:r>
    </w:p>
    <w:p>
      <w:r>
        <w:t>- sich die Beschwerde als offensichtlich unbegründet erweist, weshalb sie ohne weiteren Schriftenwechsel abzuweisen ist (Art. 390 Abs. 2 StPO e contrario);</w:t>
      </w:r>
    </w:p>
    <w:p>
      <w:r>
        <w:t>- das Gesuchsverfahren betreffend aufschiebende Wirkung bei diesem Aus- gang des Verfahrens zufolge Gegenstandslosigkeit abzuschreiben ist;</w:t>
      </w:r>
    </w:p>
    <w:p>
      <w:r>
        <w:t>- das Ersuchen um Absehen einer Veröffentlichung des Entscheides zustän- digkeitshalber an das Generalsekretariat weiterzuleiten ist (Art. 2 Abs. 2 des Reglements des Bundesstrafgerichts vom 24. Januar 2012 über die Grund- sätze der Information [SR 173.711.33] i.V.m. Art. 63 Abs. 3 StBOG);</w:t>
      </w:r>
    </w:p>
    <w:p>
      <w:r>
        <w:t>- bei diesem Ausgang des Verfahrens der Beschwerdeführer die Gerichtskos- ten zu tragen hat (Art. 428 Abs. 1 StPO);</w:t>
      </w:r>
    </w:p>
    <w:p>
      <w:r>
        <w:t>- 6 -</w:t>
      </w:r>
    </w:p>
    <w:p>
      <w:r>
        <w:t>- die Gerichtsgebühr auf Fr. 1'000.– festzusetzen ist (Art. 73 StBOG i.V.m. Art. 5 und Art. 8 Abs. 1 des Reglements des Bundesstrafgerichts vom 31. August 2010 über die Kosten, Gebühren und Entschädigungen in Bun- desstrafverfahren [BStKR; SR 173.713.162]), unter Anrechnung des ent- sprechenden Betrages aus dem geleisteten Kostenvorschuss von Fr. 2'000.–; die Bundesstrafgerichtskasse anzuweisen ist, dem Beschwerde- führer den Restbetrag von Fr. 1'000.– zurückzuerstatten;</w:t>
      </w:r>
    </w:p>
    <w:p>
      <w:r>
        <w:t>- 7 -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