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BB.2017.191 vom 25. Januar 2018</w:t>
      </w:r>
    </w:p>
    <w:p>
      <w:r>
        <w:t>Bundesstrafgericht, 2018-01-25, FR</w:t>
      </w:r>
    </w:p>
    <w:p>
      <w:r>
        <w:rPr>
          <w:b/>
        </w:rPr>
        <w:t xml:space="preserve">Quelle: </w:t>
      </w:r>
      <w:r>
        <w:t>https://mcp.opencaselaw.ch/entscheid/bstger_BB.2017.191</w:t>
      </w:r>
    </w:p>
    <w:p>
      <w:r>
        <w:t>FR: TPF BB.2017.191 du 25 janvier 2018</w:t>
      </w:r>
    </w:p>
    <w:p>
      <w:r>
        <w:t>IT: TPF BB.2017.191 del 25 gennaio 2018</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 voir de cognition en fait et en droit les recours qui lui sont soumis (Message relatif à l’unification du droit de la procédure pénale du 21 décembre 2005 [ci-après: Message CPP], FF 2006 1057, p. 1296 in fine; GUIDON, Commentaire bâlois, Schweizerische Strafprozessordnung, 2e éd., Bâle 2014, n° 15 ad art. 393; KELLER, Kommentar zur Schweizerischen Strafprozessordnung [StPO], Donatsch/Hansjakob/Lieber [édit.], Zurich/Bâle/Genève 2014, 2e éd., n° 39 ad art. 393; SCHMID/JOSITSCH, Handbuch des schweizerischen Strafprozessrechts, 3e éd., Zurich/Saint-Gall 2017, n° 1512).</w:t>
      </w:r>
    </w:p>
    <w:p>
      <w:r>
        <w:rPr>
          <w:b/>
        </w:rPr>
        <w:t>E. 1.2</w:t>
      </w:r>
    </w:p>
    <w:p>
      <w:r>
        <w:t>Les décisions de non-entrée en matière du MPC peuvent faire l'objet d'un recours devant la Cour de céans (art. 322 al. 2 CPP par renvoi de l'art. 310 al. 2 CPP; art. 393 al. 1 let. a CPP et 37 al. 1 de la loi sur l'organisation des</w:t>
      </w:r>
    </w:p>
    <w:p>
      <w:r>
        <w:t>- 3 -</w:t>
      </w:r>
    </w:p>
    <w:p>
      <w:r>
        <w:t>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1.3.1</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infraction».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1.3.2</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À cet égard, la qualification de l'infraction</w:t>
      </w:r>
    </w:p>
    <w:p>
      <w:r>
        <w:t>- 4 -</w:t>
      </w:r>
    </w:p>
    <w:p>
      <w:r>
        <w:t>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 sonnes qui ont qualité pour déposer plainte pénale selon l'art. 30 al. 1 CP, en d'autres termes les titulaires des biens juridiques auxquels on a porté at- teinte, doivent toujours être considérés comme des lésés (Message CPP, ibid.).</w:t>
      </w:r>
    </w:p>
    <w:p>
      <w:r>
        <w:rPr>
          <w:b/>
        </w:rPr>
        <w:t>E. 1.3.3</w:t>
      </w:r>
    </w:p>
    <w:p>
      <w:r>
        <w:t>La seule infraction relevée dans la plainte pénale du 19 mai 2016 et mentionnée dans la décision querellée est celle réprimée par l'art. 271 ch. 1 CP, qui punit en particulier de l'emprisonnement ou, dans les cas graves, de la réclusion, le comportement de celui qui, sans y être autorisé, aura procédé sur le territoire suisse pour un Etat étranger à des actes qui relèvent des pouvoirs publics. Cette infraction fait partie du titre treizième du Code pénal concernant les crimes ou délits contre l'Etat et la défense nationale. Le bien juridique protégé est la souveraineté territoriale ainsi que l'indépendance de la Confédération, si bien que le titulaire du bien juridique est l'Etat, à l'exclusion des personnes privées qui ne peuvent le cas échéant qu'être atteintes indirectement (arrêt du Tribunal fédéral 8G.125/2003 du 9.12.2003, consid. 1.3; décision du Tribunal pénal fédéral BB.2012.133 du 25 avril 2013, consid. 2.2). Il s'ensuit que l'infraction en cause n'est pas susceptible de léser directement le recourant dans un intérêt personnel et juridiquement protégé.</w:t>
      </w:r>
    </w:p>
    <w:p>
      <w:r>
        <w:rPr>
          <w:b/>
        </w:rPr>
        <w:t>E. 2</w:t>
      </w:r>
    </w:p>
    <w:p>
      <w:r>
        <w:t>Il suit de ce qui précède que le recours est irrecevable.</w:t>
      </w:r>
    </w:p>
    <w:p>
      <w:r>
        <w:rPr>
          <w:b/>
        </w:rPr>
        <w:t>E. 3</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sur les frais, émoluments, dépens et indemnités de la procédure pénale fédérale (RFPPF; RS 173.713.162), sera fixé à CHF 2'000.--.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