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BB.2017.188 vom 29. November 2017</w:t>
      </w:r>
    </w:p>
    <w:p>
      <w:r>
        <w:t>Bundesstrafgericht, 2017-11-29, FR</w:t>
      </w:r>
    </w:p>
    <w:p>
      <w:r>
        <w:rPr>
          <w:b/>
        </w:rPr>
        <w:t xml:space="preserve">Quelle: </w:t>
      </w:r>
      <w:r>
        <w:t>https://mcp.opencaselaw.ch/entscheid/bstger_BB.2017.188</w:t>
      </w:r>
    </w:p>
    <w:p>
      <w:r>
        <w:t>FR: TPF BB.2017.188 du 29 novembre 2017</w:t>
      </w:r>
    </w:p>
    <w:p>
      <w:r>
        <w:t>IT: TPF BB.2017.188 del 29 novembre 2017</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Bâle 2014, n° 15 ad art. 393; KELLER, Kommentar zur Schweizerischen Strafprozessordnung [StPO], Donatsch/Hansjakob/Lieber [édit.], Zurich/Bâle/Genève 2014, 2e éd., n° 39 ad art. 393; SCHMID, Handbuch des schweizerischen Strafprozessrechts, 2e éd., Zurich/Saint-Gall 2013, n° 1512).</w:t>
      </w:r>
    </w:p>
    <w:p>
      <w:r>
        <w:rPr>
          <w:b/>
        </w:rPr>
        <w:t>E. 1.2.1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par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1.2.2</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FF 2005 p. 1148).</w:t>
      </w:r>
    </w:p>
    <w:p>
      <w:r>
        <w:t>- 4 -</w:t>
      </w:r>
    </w:p>
    <w:p>
      <w:r>
        <w:rPr>
          <w:b/>
        </w:rPr>
        <w:t>E. 1.2.3</w:t>
      </w:r>
    </w:p>
    <w:p>
      <w:r>
        <w:t>Dès lors que l'art. 320 CP protège notamment la sphère privée des citoyens (STEFAN TRECHSEL/HANS VEST, in Schweizerisches Strafgesetzbuch, Praxiskommentar, 2e éd., Zurich/Saint-Gall 2013, n° 1 ad art. 320 CP), le recourant peut se prévaloir d'une atteinte directe par la violation, qu'il allègue, de cette disposition pénale.</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w:t>
      </w:r>
    </w:p>
    <w:p>
      <w:r>
        <w:t>Ce délai a été respecté en l'occurrence.</w:t>
      </w:r>
    </w:p>
    <w:p>
      <w:r>
        <w:rPr>
          <w:b/>
        </w:rPr>
        <w:t>E. 1.3</w:t>
      </w:r>
    </w:p>
    <w:p>
      <w:r>
        <w:t>Au vu de ce qui précède, il y a lieu d'entrer en matière.</w:t>
      </w:r>
    </w:p>
    <w:p>
      <w:r>
        <w:rPr>
          <w:b/>
        </w:rPr>
        <w:t>E. 2</w:t>
      </w:r>
    </w:p>
    <w:p>
      <w:r>
        <w:t>Il sied se pencher tout d'abord sur la demande de récusation formulée par le recourant.</w:t>
      </w:r>
    </w:p>
    <w:p>
      <w:r>
        <w:t>A l'instar de ce qu'il a fait à de nombreuses reprises devant la Cour de céans (cf. p. ex. décision BB.2016.363 du 19 juillet 2017, consid. 2.2 et les réf. citées), le recourant se contente d'invoquer à cet égard – en des termes généraux – l'existence d'une "vendetta" menée contre lui par les autorités pénales fédérales. La Cour de céans a toujours rejeté les demandes de récusation du recourant fondés sur cette argumentation et, dès lors que l'intéressé n'apporte aucun élément nouveau à ce sujet, il n'y a aucune raison qu'il en aille différemment dans la présente procédure. La demande de récusation est donc mal fondée.</w:t>
      </w:r>
    </w:p>
    <w:p>
      <w:r>
        <w:rPr>
          <w:b/>
        </w:rPr>
        <w:t>E. 3.1</w:t>
      </w:r>
    </w:p>
    <w:p>
      <w:r>
        <w:t>Il reste donc à examiner si c'est à bon droit que le procureur fédéral extraordinaire a prononcé une non-entrée en matière sur la plainte pénale déposée par le recourant.</w:t>
      </w:r>
    </w:p>
    <w:p>
      <w:r>
        <w:rPr>
          <w:b/>
        </w:rPr>
        <w:t>E. 3.2</w:t>
      </w:r>
    </w:p>
    <w:p>
      <w:r>
        <w:t>Aux termes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(al. 1, let. a), qu'il existe des empêchements de procéder (al. 1, let. b) et que les conditions mentionnées à l'art. 8 imposent de renoncer à l'ouverture d'une</w:t>
      </w:r>
    </w:p>
    <w:p>
      <w:r>
        <w:t>- 5 -</w:t>
      </w:r>
    </w:p>
    <w:p>
      <w:r>
        <w:t>poursuite pénale (al. 1, let. c). Au surplus, les dispositions sur le classement de la procédure sont applicables (al. 2).</w:t>
      </w:r>
    </w:p>
    <w:p>
      <w:r>
        <w:rPr>
          <w:b/>
        </w:rPr>
        <w:t>E. 3.3</w:t>
      </w:r>
    </w:p>
    <w:p>
      <w:r>
        <w:t>Selon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(ch. 1). La révélation demeure punissable alors même que la charge ou l'emploi a pris fin (ch. 2). La révélation ne sera pas punissable si elle a été faite avec le consentement écrit de l'autorité supérieure (ch. 3).</w:t>
      </w:r>
    </w:p>
    <w:p>
      <w:r>
        <w:rPr>
          <w:b/>
        </w:rPr>
        <w:t>E. 3.4</w:t>
      </w:r>
    </w:p>
    <w:p>
      <w:r>
        <w:t>Dans l'acte attaqué, le procureur fédéral extraordinaire a considéré en substance que les informations révélées par le MPC – à un journaliste chypriote qui les avait sollicitées –, à savoir l'existence d'une procédure pénale ouverte contre le recourant, notamment pour blanchiment d'argent qualifié, ne relevaient pas du secret au sens de l'art. 320 CP. En effet, celles- ci figuraient dans un jugement de la United States District Court du 1er juillet 2015 librement accessible sur internet; par ailleurs, le recourant lui-même avait contacté des journalistes suisses au sujet de ladite procédure. Les éléments constitutifs objectifs de l'infraction réprimée à l'art. 320 CP semblaient ainsi ne pas être remplis. Au surplus, dès lors que la spécialiste en communication du MPC était persuadée, au moment des faits pertinents, que l'existence d'une procédure pénale contre l'intéressé ne constituait pas un secret, elle n'avait pas agi intentionnellement. Dans ces conditions, le prononcé d'une condamnation apparaissait extrêmement peu probable, de sorte qu'il convenait de ne pas entrer en matière sur la plainte.</w:t>
      </w:r>
    </w:p>
    <w:p>
      <w:r>
        <w:rPr>
          <w:b/>
        </w:rPr>
        <w:t>E. 3.5</w:t>
      </w:r>
    </w:p>
    <w:p>
      <w:r>
        <w:t>Force est de constater qu'aucun des propos – confus – tenus par le recourant dans son mémoire du n'est propre à remettre en question ce raisonnement. En effet, on ne voit pas en quoi le fait que le procureur fédéral extraordinaire aurait refusé de s'entretenir en personne avec l'intéressé (act. 1, p. 2) serait pertinent pour l'issue du présent litige, et celui-ci ne le précise pas. Il en va de même des considérations de politique criminelle développées par le recourant, qui évoque, pêle-mêle et sans fournir plus de précisions, l'affaire "Madoff", le crime organisé, le commerce de la drogue, le trafic d'êtres humains et le terrorisme. Finalement, les écrits annexés au recours qui semblent tirés d'articles de doctrine consacrés à l'art. 320 CP ne sont en eux- mêmes d'aucun secours au recourant, dès lors que ce dernier n'en tire aucun argument concret lié au cas de l'espèce.</w:t>
      </w:r>
    </w:p>
    <w:p>
      <w:r>
        <w:rPr>
          <w:b/>
        </w:rPr>
        <w:t>E. 4</w:t>
      </w:r>
    </w:p>
    <w:p>
      <w:r>
        <w:t>Il s'ensuit que le recours est mal fondé.</w:t>
      </w:r>
    </w:p>
    <w:p>
      <w:r>
        <w:rPr>
          <w:b/>
        </w:rPr>
        <w:t>E. 5</w:t>
      </w:r>
    </w:p>
    <w:p>
      <w:r>
        <w:t>En tant que partie qui succombe, le recourant supporte les frais de la</w:t>
      </w:r>
    </w:p>
    <w:p>
      <w:r>
        <w:t>- 6 -</w:t>
      </w:r>
    </w:p>
    <w:p>
      <w:r>
        <w:t>présente procédure, en application de l'art. 428 al. 1 CPP. Ceux-ci prendront en l'espèce la forme d'un émolument fixé, en vertu des art. 5 et 8 al. 1 du règlement du Tribunal pénal fédéral du 31 août 2010 sur les frais, émoluments, dépens et indemnités de la procédure pénale fédérale (RS 173.713.162),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