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BB.2017.185 vom 7. November 2017</w:t>
      </w:r>
    </w:p>
    <w:p>
      <w:r>
        <w:t>Bundesstrafgericht, 2017-11-07, FR</w:t>
      </w:r>
    </w:p>
    <w:p>
      <w:r>
        <w:rPr>
          <w:b/>
        </w:rPr>
        <w:t xml:space="preserve">Quelle: </w:t>
      </w:r>
      <w:r>
        <w:t>https://mcp.opencaselaw.ch/entscheid/bstger_BB.2017.185</w:t>
      </w:r>
    </w:p>
    <w:p>
      <w:r>
        <w:t>FR: TPF BB.2017.185 du 7 novembre 2017</w:t>
      </w:r>
    </w:p>
    <w:p>
      <w:r>
        <w:t>IT: TPF BB.2017.185 del 7 novembre 2017</w:t>
      </w:r>
    </w:p>
    <w:p>
      <w:pPr>
        <w:pStyle w:val="Heading2"/>
      </w:pPr>
      <w:r>
        <w:t>Regeste</w:t>
      </w:r>
    </w:p>
    <w:p>
      <w:r>
        <w:t>Mise sous scellés (art. 248 al. 1 CPP). Séquestre (art. 263 ss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cause est rayée du rôle.</w:t>
      </w:r>
    </w:p>
    <w:p>
      <w:r>
        <w:rPr>
          <w:b/>
        </w:rPr>
        <w:t>E. 2</w:t>
      </w:r>
    </w:p>
    <w:p>
      <w:r>
        <w:t>Les frais de la présente décision sont mis à charge de l’Etat.</w:t>
      </w:r>
    </w:p>
    <w:p>
      <w:r>
        <w:rPr>
          <w:b/>
        </w:rPr>
        <w:t>E. 3</w:t>
      </w:r>
    </w:p>
    <w:p>
      <w:r>
        <w:t>Une indemnité de CHF 2’585.30 est octroyée à la recourante, à charge du Ministère public de la Confédération.</w:t>
      </w:r>
    </w:p>
    <w:p>
      <w:r>
        <w:t>Bellinzone, le 8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Grégoire Mangeat, avocat - Ministère public de la Confédération</w:t>
      </w:r>
    </w:p>
    <w:p>
      <w:r>
        <w:t>Indication des voies de recours Dans les 30 jours qui suivent leur notification, les décisions de la Cour des plaintes relatifs aux mesures de contrainte sont sujettes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