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BB.2017.181 vom 17. April 2018</w:t>
      </w:r>
    </w:p>
    <w:p>
      <w:r>
        <w:t>Bundesstrafgericht, 2018-04-17, FR</w:t>
      </w:r>
    </w:p>
    <w:p>
      <w:r>
        <w:rPr>
          <w:b/>
        </w:rPr>
        <w:t xml:space="preserve">Quelle: </w:t>
      </w:r>
      <w:r>
        <w:t>https://mcp.opencaselaw.ch/entscheid/bstger_BB.2017.181</w:t>
      </w:r>
    </w:p>
    <w:p>
      <w:r>
        <w:t>FR: TPF BB.2017.181 du 17 avril 2018</w:t>
      </w:r>
    </w:p>
    <w:p>
      <w:r>
        <w:t>IT: TPF BB.2017.181 del 17 aprile 2018</w:t>
      </w:r>
    </w:p>
    <w:p>
      <w:pPr>
        <w:pStyle w:val="Heading2"/>
      </w:pPr>
      <w:r>
        <w:t>Regeste</w:t>
      </w:r>
    </w:p>
    <w:p>
      <w:r>
        <w:t>Disjonction de procédures (art. 30 CPP).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octobre 2017 par la présente Cour au MPC (act. 2), soit avant la clôture de l’échange d’écritures;  au vu de ladite déclaration, il y a lieu de prendre acte du retrait du recours;  la cause est par conséquent rayée du rôle;</w:t>
      </w:r>
    </w:p>
    <w:p>
      <w:r>
        <w:t>- 3 -</w:t>
      </w:r>
    </w:p>
    <w:p>
      <w:r>
        <w:t> les frais de procédure de recours sont mis à la charge des parties dans la mesure où elles ont obtenu gain de cause ou succombé; la partie dont le recours est irrecevable ou qui retire le recours étant également considérée avoir succombé (art. 428 al. 1 CPP);</w:t>
      </w:r>
    </w:p>
    <w:p>
      <w:r>
        <w:t> le recourant doit dès lors être considéré comme partie qui succombe;</w:t>
      </w:r>
    </w:p>
    <w:p>
      <w:r>
        <w:t> dans la mesure où le retrait du recours est intervenu à un stade précoce de la procédure, la Cour fixe les frais y relatifs à CHF 800.-- (art. 5 et 8 du règlement du 31 août 2010 du Tribunal pénal fédéral sur les frais, émoluments, dépens et indemnités de la procédure pénale fédérale [RFPPF; RS 173.713.162] et art. 73 al. 2 LOAP).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