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BB.2017.177 vom 2. Oktober 2017</w:t>
      </w:r>
    </w:p>
    <w:p>
      <w:r>
        <w:t>Bundesstrafgericht, 2017-10-02, DE</w:t>
      </w:r>
    </w:p>
    <w:p>
      <w:r>
        <w:rPr>
          <w:b/>
        </w:rPr>
        <w:t xml:space="preserve">Quelle: </w:t>
      </w:r>
      <w:r>
        <w:t>https://mcp.opencaselaw.ch/entscheid/bstger_BB.2017.177</w:t>
      </w:r>
    </w:p>
    <w:p>
      <w:r>
        <w:t>FR: TPF BB.2017.177 du 2 octobre 2017</w:t>
      </w:r>
    </w:p>
    <w:p>
      <w:r>
        <w:t>IT: TPF BB.2017.177 del 2 ottobre 2017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</w:t>
      </w:r>
    </w:p>
    <w:p>
      <w:pPr>
        <w:pStyle w:val="Heading2"/>
      </w:pPr>
      <w:r>
        <w:t>Volltext</w:t>
      </w:r>
    </w:p>
    <w:p>
      <w:r>
        <w:t>Beschluss vom 2. Oktober 2017 Beschwerdekammer Besetzung</w:t>
      </w:r>
    </w:p>
    <w:p>
      <w:r>
        <w:t>Bundesstrafrichter Stephan Blättler, Vorsitz, Tito Ponti und Patrick Robert-Nicoud, Gerichtsschreiber Stephan Ebneter</w:t>
      </w:r>
    </w:p>
    <w:p>
      <w:r>
        <w:t>Parteien</w:t>
      </w:r>
    </w:p>
    <w:p>
      <w:r>
        <w:t>A. LIMITED, vertreten durch Rechtsanwältin Laura Quiblier,</w:t>
      </w:r>
    </w:p>
    <w:p>
      <w:r>
        <w:t>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Verfahrenshandlung der Bundesanwaltschaft (Art. 20 Abs. 1 lit. b i.V.m. Art. 393 Abs. 1 lit. a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BB.2017.177</w:t>
      </w:r>
    </w:p>
    <w:p>
      <w:r>
        <w:t>- 2 -</w:t>
      </w:r>
    </w:p>
    <w:p>
      <w:r>
        <w:t>Die Beschwerdekammer hält fest, dass:</w:t>
      </w:r>
    </w:p>
    <w:p>
      <w:r>
        <w:t>- die Bundesanwaltschaft (nachfolgend "BA") eine Strafuntersuchung gegen Unbekannt wegen Verdachts auf Geldwäscherei i.S.v. Art. 305bis StGB führt;</w:t>
      </w:r>
    </w:p>
    <w:p>
      <w:r>
        <w:t>- sie im Rahmen dieser Untersuchung die Kontoverbindung Nr. 1 bei der Bank B. SA, lautend auf die A. Limited, im Betrag von umgerechnet Fr. 120'963.– mit Beschlag belegte;</w:t>
      </w:r>
    </w:p>
    <w:p>
      <w:r>
        <w:t>- dagegen bei der Beschwerdekammer eine Beschwerde hängig ist;</w:t>
      </w:r>
    </w:p>
    <w:p>
      <w:r>
        <w:t>- die BA die Bank B. SA am 14. September 2017 wie folgt anwies (act. 1.1):</w:t>
      </w:r>
    </w:p>
    <w:p>
      <w:r>
        <w:t>"1. Von der Kontoverbindung Nr. 1 (lautend auf die A. Limited) ist ein Betrag von umge- rechnet CHF 120'963.00 auf die Kontoverbindung Nr. 2 (lautend auf die A. Limited) zu überweisen.</w:t>
      </w:r>
    </w:p>
    <w:p>
      <w:r>
        <w:t>2. Die Kontoverbindung 2 ist gleichzeitig mit Eingang des Transfers gemäss Ziff. 1 vor- stehend zu sperren. Die sich nach Eingang des Transfers gemäss Ziff. 1 vorstehend darauf befindlichen Vermögenswerte (umgerechnet CHF 120'963.00) werden beschlag- nahmt.</w:t>
      </w:r>
    </w:p>
    <w:p>
      <w:r>
        <w:t>3. Nach Abschluss des Transfers gemäss Ziff. 1 vorstehend und der Beschlagnahme gemäss Ziff. 2 vorstehend wird die Beschlagnahme der Kontoverbindung Nr. 1 (lautend auf die A. Limited) aufgehoben.</w:t>
      </w:r>
    </w:p>
    <w:p>
      <w:r>
        <w:t>4. Mit Ausnahme der vorstehenden Ziffern 1 bis 3 bleiben die Verfügungen der Bundes- anwaltschaft zur Beschlagnahme der Bankverbindungen bei der Bank B. SA in Kraft."</w:t>
      </w:r>
    </w:p>
    <w:p>
      <w:r>
        <w:t>- die A. Limited, vertreten durch Rechtsanwältin Laura Quiblier, hiergegen mit Beschwerde vom 27. September 2017 an die Beschwerdekammer gelangt mit folgenden Rechtsbegehren (act. 1):</w:t>
      </w:r>
    </w:p>
    <w:p>
      <w:r>
        <w:t>"1. Die Verfügung der Bundesanwaltschaft vom 14. September 2017 im Verfahren SV.17.1069 sei aufzuheben, soweit darin die Beschlagnahmung bei der Bank B. SA auf- rechterhalten wird und insbesondere die Beschlagnahmung der Kontoverbindung Nr. 2 (lautend auf die Beschwerdeführerin) verfügt wird.</w:t>
      </w:r>
    </w:p>
    <w:p>
      <w:r>
        <w:t>2. Unter Kosten- und Entschädigungsfolgen."</w:t>
      </w:r>
    </w:p>
    <w:p>
      <w:r>
        <w:t>- 3 -</w:t>
      </w:r>
    </w:p>
    <w:p>
      <w:r>
        <w:t>Die Beschwerdekammer zieht in Erwägung, dass:</w:t>
      </w:r>
    </w:p>
    <w:p>
      <w:r>
        <w:t>- gegen Verfügungen und Verfahrenshandlungen der Bundesanwaltschaft die Beschwerde an die Beschwerdekammer des Bundesstrafgerichts zulässig ist (Art. 393 Abs. 1 lit. a i.V.m. Art. 20 Abs. 1 lit. b StPO und Art. 37 Abs. 1 StBOG);</w:t>
      </w:r>
    </w:p>
    <w:p>
      <w:r>
        <w:t>- jede Partei, die ein rechtlich geschütztes Interesse an der Aufhebung oder Änderung eines Entscheides hat, ein Rechtsmittel ergreifen kann (Art. 382 Abs. 1 StPO); durch Verfahrenshandlungen beschwerten Dritten, die in ihren Rechten unmittelbar betroffen werden, die zur Wahrung ihrer Interessen er- forderlichen Verfahrensrechte einer Partei zustehen (Art. 105 Abs. 2 i.V.m. Abs. 1 lit. f StPO);</w:t>
      </w:r>
    </w:p>
    <w:p>
      <w:r>
        <w:t>- die Beschwerdeführerin geltend macht, sie sei durch die angefochtene Ver- fügung in exakt gleicher Weise und in exakt gleichem Ausmasse in ihren Rechten betroffen und entsprechend beschwert, wie sie dies durch die Sperre der Kontoverbindung Nr. 1 gewesen sei und (noch) sei (act. 1 N. 9);</w:t>
      </w:r>
    </w:p>
    <w:p>
      <w:r>
        <w:t>- dem entgegenzuhalten ist, dass die Kontosperre eine Forderungsbeschlag- nahme darstellt (BOMMER/GOLDSCHMID, Basler Kommentar, 2. Aufl., Basel 2014, Art. 266 StPO N. 15; HEIMGARTNER, Strafprozessuale Beschlag- nahme, Habil. Zürich/Basel/Genf 2011, S. 94, S. 186; vgl. TPF 2015 76 E. 1.4.2); in diesem Zusammenhang die Kontoinformation der Individualisie- rung und Erhältlichmachung der beschlagnahmten Forderung dient;</w:t>
      </w:r>
    </w:p>
    <w:p>
      <w:r>
        <w:t>- die angefochtene Verfügung lediglich einen Wechsel der Kontoinformation zur Folge hat, sie an der Beschlagnahme indes materiell nichts ändert;</w:t>
      </w:r>
    </w:p>
    <w:p>
      <w:r>
        <w:t>- über die Frage, ob die Beschlagnahme berechtigt sei, im Rahmen des be- reits hängigen Beschwerdeverfahrens zu befinden ist;</w:t>
      </w:r>
    </w:p>
    <w:p>
      <w:r>
        <w:t>- mithin die Beschwerdeführerin durch die angefochtene Verfügung offensicht- lich nicht beschwert ist, weshalb auf die Beschwerde ohne Durchführung ei- nes Schriftenwechsels nicht einzutreten ist (Art. 390 Abs. 2 StPO e contra- rio);</w:t>
      </w:r>
    </w:p>
    <w:p>
      <w:r>
        <w:t>- bei diesem Ausgang des Verfahrens die Beschwerdeführerin die Gerichts- kosten zu tragen hat (Art. 428 Abs. 1 StPO), wobei die Gerichtsgebühr auf Fr. 500.– festzusetzen ist (Art. 73 StBOG i.V.m. Art. 5 und Art. 8 Abs. 1 des Reglements des Bundesstrafgerichts vom 31. August 2010 über die Kosten,</w:t>
      </w:r>
    </w:p>
    <w:p>
      <w:r>
        <w:t>- 4 -</w:t>
      </w:r>
    </w:p>
    <w:p>
      <w:r>
        <w:t>Gebühren und Entschädigungen in Bundesstrafverfahren [BStKR; SR 173.713.162]);</w:t>
      </w:r>
    </w:p>
    <w:p>
      <w:r>
        <w:t>- 5 -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500.– wird der Beschwerdeführerin auferlegt.</w:t>
      </w:r>
    </w:p>
    <w:p>
      <w:r>
        <w:t>Bellinzona, 2. Oktober 2017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Rechtsanwältin Laura Quiblier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Instruktions- 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