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BB.2017.17 vom 12. April 2017</w:t>
      </w:r>
    </w:p>
    <w:p>
      <w:r>
        <w:t>Bundesstrafgericht, 2017-04-12, FR</w:t>
      </w:r>
    </w:p>
    <w:p>
      <w:r>
        <w:rPr>
          <w:b/>
        </w:rPr>
        <w:t xml:space="preserve">Quelle: </w:t>
      </w:r>
      <w:r>
        <w:t>https://mcp.opencaselaw.ch/entscheid/bstger_BB.2017.17</w:t>
      </w:r>
    </w:p>
    <w:p>
      <w:r>
        <w:t>FR: TPF BB.2017.17 du 12 avril 2017</w:t>
      </w:r>
    </w:p>
    <w:p>
      <w:r>
        <w:t>IT: TPF BB.2017.17 del 12 aprile 2017</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Selon l'art. 393 al. 1 let. b CPP, ainsi que 37 al. 1 LOAP en lien avec l'art. 19 al. 1 du règlement du 31 août 2010 sur l'organisation du Tribunal pénal fédéral (ROTPF; RS 173.713.161),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w:t>
      </w:r>
    </w:p>
    <w:p>
      <w:r>
        <w:rPr>
          <w:b/>
        </w:rPr>
        <w:t>E. 1.2</w:t>
      </w:r>
    </w:p>
    <w:p>
      <w:r>
        <w:t>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p. 204; 138 IV 193 consid. 4.3.1 p. 195 s; arrêt du Tribunal fédéral 1B_324/2016 du 12 septembre 2016, consid. 3.1).</w:t>
      </w:r>
    </w:p>
    <w:p>
      <w:r>
        <w:rPr>
          <w:b/>
        </w:rPr>
        <w:t>E. 1.3</w:t>
      </w:r>
    </w:p>
    <w:p>
      <w:r>
        <w:t>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w:t>
      </w:r>
    </w:p>
    <w:p>
      <w:r>
        <w:t>- 5 -</w:t>
      </w:r>
    </w:p>
    <w:p>
      <w:r>
        <w:t>(cf. art. 93 al. 1 let. a LTF). A l'inverse, si la décision peut causer un préjudice irréparable, elle est en principe attaquable par la voie du recours prévu par l'art. 393 CPP, puis par le recours en matière pénale auprès du Tribunal fédéral (ATF 140 IV 202 consid. 2.1 p. 204 s.; arrêts du Tribunal fédéral 1B_199/2013 du 12 novembre 2013, consid. 2; 1B_569/2011 du 23 décembre 2011, consid. 2). En matière pénale, le préjudice irréparable au sens du CPP (cf. art. 394 let. b CPP; arrêts du Tribunal fédéral 1B_50/2016 du 22 février 2016, consid. 2.1; 1B_73/2014 du 21 mai 2014, consid. 1.4; 1B_189/2012 du 17 août 2012, consid. 2.1 publié in SJ 2013 I 89), se rapporte à un dommage de nature juridique qui ne puisse pas être réparé ultérieurement par un jugement final ou une autre décision favorable au recourant (ATF 141 IV 289 consid. 1.2 p. 291). Un dommage de pur fait, comme la prolongation de la procédure ou un accroissement des frais de celle-ci, n'est pas considéré comme irréparable (ATF 136 IV 92 consid. 4 p. 95). Tel peut en revanche être le cas lorsque la décision attaquée est susceptible d'entraver le bon déroulement de l'instruction ou de compromettre définitivement la recherche de la vérité (arrêt du Tribunal fédéral 1B_19/2013 du 22 février 2013, consid. 3). Les mesures de contrainte ordonnées par le tribunal de première instance – par exemple le prononcé d’un séquestre – peuvent également faire l’objet d’un recours (GUIDON, Commentaire bâlois, 2e éd., Bâle 2014, n° 13 ad art. 393 CPP et références citées). En tout état de cause, il incombe à la partie recourante d'alléguer les faits qu'elle considère comme propres à fonder sa qualité pour recourir et ceux permettant de démontrer l'existence d'un préjudice irréparable lorsque celui-ci n'est pas d'emblée évident (cf. art. 42 al. 1 LTF; ATF 141 IV 284 consid. 2.3 p. 287).</w:t>
      </w:r>
    </w:p>
    <w:p>
      <w:r>
        <w:rPr>
          <w:b/>
        </w:rPr>
        <w:t>E. 1.4</w:t>
      </w:r>
    </w:p>
    <w:p>
      <w:r>
        <w:t>Ni la loi, ni la jurisprudence ne règlent la question de savoir si les décisions rendues par le Tribunal de première instance après les débats et le jugement sont ouvertes au recours tant il est vrai que cette situation qui découle du courrier du Président de la Cour de droit pénal du Tribunal fédéral du</w:t>
      </w:r>
    </w:p>
    <w:p>
      <w:r>
        <w:rPr>
          <w:b/>
        </w:rPr>
        <w:t>E. 1.5</w:t>
      </w:r>
    </w:p>
    <w:p>
      <w:r>
        <w:t>L’ordonnance entreprise ne saurait être qualifiée de décision de la direction de la procédure susceptible de recours au sens de l’art. 393 al. 1 let. b en lien avec l’art. 65 CPP soit uniquement si elle cause un préjudice irréparable. En effet, – même si in casu, on se trouve après les débats – de manière</w:t>
      </w:r>
    </w:p>
    <w:p>
      <w:r>
        <w:t>- 6 -</w:t>
      </w:r>
    </w:p>
    <w:p>
      <w:r>
        <w:t>générale, on ne voit pas en quoi ce genre de décision qui porte uniquement sur la gestion de comptes servirait l'avancement et le déroulement de la procédure avant ou pendant les débats (supra consid. 1.2). Par ailleurs, il ne s’agit pas non plus d’une ordonnance de la direction de la procédure portant sur des mesures de contrainte puisqu’elle se réfère exclusivement à la gestion, au sens large, de biens placés sous séquestre (arrêt du Tribunal fédéral 1B_240/2014 du 11 juillet 2014, consid. 2 et référence citée). A ce titre, elle doit pouvoir faire l’objet d’un recours au sens de l’art. 393 al. 1 let. b CPP.</w:t>
      </w:r>
    </w:p>
    <w:p>
      <w:r>
        <w:rPr>
          <w:b/>
        </w:rPr>
        <w:t>E. 2</w:t>
      </w:r>
    </w:p>
    <w:p>
      <w:r>
        <w:t>Le recours est recevable à la condition que le recourant dispose d'un intérêt juridiquement protégé à l'annulation ou à la modification de la décision entreprise (art. 382 al. 1 CPP). S'agissant d'une mesure de séquestre d'un compte bancaire, seul le titulaire du compte remplit en principe cette condition (décision du Tribunal pénal fédéral BB.2011.10/11 du 18 mai 2011, consid. 1.5 et jurisprudence citée). Il doit en aller de même lorsque le recours porte sur des opérations de gestion du compte en question (décisions du Tribunal pénal fédéral BB.2013.189-190 du 4 juin 2014, consid. 1.3; BB.2011.113-114 du 23 décembre 2011, consid. 1.2.1). En tant que titulaires respectives des relations bancaires concernées, les recourantes sont touchées par la décision de la Cour des affaires pénales et disposent donc de la qualité pour agir.</w:t>
      </w:r>
    </w:p>
    <w:p>
      <w:r>
        <w:rPr>
          <w:b/>
        </w:rPr>
        <w:t>E. 3.1</w:t>
      </w:r>
    </w:p>
    <w:p>
      <w:r>
        <w:t>Dans un premier grief, les recourantes contestent le fait que le Juge président de la Cour des affaires pénales avait la compétence de décider seul, sans concertation avec les autres membres de dite Cour, pour refuser d’ordonner les mesures d’économie qu’elles préconisaient. Elles soutiennent en effet qu’à l’aune de la décision du Tribunal fédéral du 2 septembre 2014 c’est à la Cour des affaires pénales dans son ensemble et non à son seul Juge président qu’a été déléguée la compétence de gérer les comptes sous séquestre concernés pendant la procédure de recours devant la Haute Cour.</w:t>
      </w:r>
    </w:p>
    <w:p>
      <w:r>
        <w:rPr>
          <w:b/>
        </w:rPr>
        <w:t>E. 3.2</w:t>
      </w:r>
    </w:p>
    <w:p>
      <w:r>
        <w:t>Les recourantes errent. Il est vrai que l’ordonnance du Président de la Cour de droit pénal du 2 septembre 2014 (supra let. B) a indiqué sans autre motivation que la gestion des valeurs patrimoniales concernées demeurait « de la compétence de la Cour des affaires pénales » (act. 3.1). Il reste qu’à teneur de l’O-Pl, il appartient à la direction de la procédure de procéder à la gestion des valeurs patrimoniales séquestrées (art. 2 al. 1 et 3 al. 1). Or, s'agissant d'une procédure devant un tribunal collégial, comme c’est le cas</w:t>
      </w:r>
    </w:p>
    <w:p>
      <w:r>
        <w:t>- 7 -</w:t>
      </w:r>
    </w:p>
    <w:p>
      <w:r>
        <w:t>en l’espèce, l’autorité investie de la direction de la procédure est le président du tribunal (art. 61 al. 1 let. c CPP). C’est donc à bon droit qu’en l’occurrence le Juge Président a statué seul, sans en référer aux autres membres de la composition. L’argument ne peut être que rejeté.</w:t>
      </w:r>
    </w:p>
    <w:p>
      <w:r>
        <w:rPr>
          <w:b/>
        </w:rPr>
        <w:t>E. 4.1</w:t>
      </w:r>
    </w:p>
    <w:p>
      <w:r>
        <w:t>Les recourantes considèrent ensuite qu’en indiquant qu’il n’appartenait pas à la Cour des affaires pénales d’apprécier la réalité des dettes entre les diverses sociétés dont les avoirs sont séquestrés, son Juge président a « éludé de rendre une décision ». Elles contestent en outre que la Cour des affaires pénales ait en l’espèce un mandat limité ce d’autant que le but de leur demande était de consolider des avoirs et de réaliser des économies substantielles en terme de frais de fonctionnement des entités sans activité du fait de la procédure SK.2011.24. Il en résulte selon elles que la décision querellée les condamne à subir sans pouvoir réagir la continuation d’une mauvaise gestion de leurs intérêts patrimoniaux et les prive de tout droit à réduire les frais de fonctionnement et les frais bancaires inutiles.</w:t>
      </w:r>
    </w:p>
    <w:p>
      <w:r>
        <w:rPr>
          <w:b/>
        </w:rPr>
        <w:t>E. 4.2</w:t>
      </w:r>
    </w:p>
    <w:p>
      <w:r>
        <w:t>En principe, le sort des avoirs séquestrés est tranché lors du jugement final (art. 267 al. 3 CPP). Par conséquent, durant la procédure pénale, les actifs gelés sont conservés tels quels. Le législateur a cependant expressément prévu une exception à ce principe en permettant à l'autorité pénale de procéder à la liquidation anticipée des valeurs bloquées (art. 266 al. 5 CPP). Le produit de la vente est, ex lege, frappé de séquestre (art. 266 al. 5 in fine CPP; REMUND/WYSS, La gestion d'actifs bancaires séquestrés dans la procédure pénale, RPS 133/2015, p. 1 ss, p. 17). La gestion d'un compte sous séquestre doit se faire dans le respect des règles émanant de l’O-Pl et des principes que la jurisprudence en a dégagés (v. notamment décision du Tribunal pénal fédéral BB.2015.28 du 28 juillet 2015, consid. 3.1).</w:t>
      </w:r>
    </w:p>
    <w:p>
      <w:r>
        <w:rPr>
          <w:b/>
        </w:rPr>
        <w:t>E. 4.3</w:t>
      </w:r>
    </w:p>
    <w:p>
      <w:r>
        <w:t>Aux termes de l'art. 1 O-Pl, dans toute la mesure du possible, les valeurs patrimoniales séquestrées sont placées de manière que le placement soit sûr, qu'elles ne se déprécient pas et qu'elles produisent un rendement. L'art. 2 O-Pl, qui définit les placements admis comme sûrs et propres à éviter une dépréciation pour les espèces, le produit et le rendement, spécifie quant à lui notamment que les espèces séquestrées déposées auprès de la caisse d'Etat doivent être rémunérées au même taux que les acomptes d'impôt. Celles placées sur un compte d'épargne ou un compte courant doivent être rémunérées par l'autorité pénale au taux appliqué à ce compte (al. 2). Ces dispositions reflètent la pratique suivie jusqu'alors, selon laquelle les valeurs patrimoniales doivent être placées en vue d'être conservées. On s'attachera au premier chef à maintenir la valeur réelle du capital et à obtenir un</w:t>
      </w:r>
    </w:p>
    <w:p>
      <w:r>
        <w:t>- 8 -</w:t>
      </w:r>
    </w:p>
    <w:p>
      <w:r>
        <w:t>rendement surtout par des revenus périodiques, c'est-à-dire un intérêt. Il n'est pas admissible de procéder à des placements spéculatifs qui ne sont pas compatibles avec ce but (TPF 2009 31 consid. 2.6.2; décision du Tribunal pénal fédéral BB.2012.146 du 30 janvier 2013, consid. 2.3).</w:t>
      </w:r>
    </w:p>
    <w:p>
      <w:r>
        <w:rPr>
          <w:b/>
        </w:rPr>
        <w:t>E. 4.4</w:t>
      </w:r>
    </w:p>
    <w:p>
      <w:r>
        <w:t>En l’espèce, force est d’admettre que si les recourantes invoquent des créances que A. Ltd détiendrait à leur égard à toutes, elles n’en apportent aucune preuve. En effet, la lettre dans laquelle elles exposent l’existence de ces différents prêts ne suffit pas à établir la véracité de ces derniers. Par ailleurs, elles font valoir que les mesures qu’elles requièrent sont destinées à réduire de manière drastique les coûts de fonctionnement des sociétés en optimisant les frais y relatifs. Elles ne fournissent cependant aucune donnée ni information à ce propos. En particulier, elles ne précisent nullement en quoi la situation actuelle serait contraire à l’objectif recherché par l’art. 1 O- Pl. Enfin, il sied de relever que la requête des recourantes aboutirait dans les faits à des levées des séquestres grevant actuellement leurs comptes. Une telle mesure irait incontestablement à l’encontre du mandat confié par la Haute Cour à la Cour des affaires pénales, lequel ne vise que la gestion des valeurs patrimoniales concernées. Les recourantes ne peuvent donc être suivies.</w:t>
      </w:r>
    </w:p>
    <w:p>
      <w:r>
        <w:rPr>
          <w:b/>
        </w:rPr>
        <w:t>E. 5</w:t>
      </w:r>
    </w:p>
    <w:p>
      <w:r>
        <w:t>Sur le vu de ce qui précède, le recours mal fondé doit être rejeté.</w:t>
      </w:r>
    </w:p>
    <w:p>
      <w:r>
        <w:rPr>
          <w:b/>
        </w:rPr>
        <w:t>E. 6</w:t>
      </w:r>
    </w:p>
    <w:p>
      <w:r>
        <w:t>Selon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Les recourantes supporteront solidairement un émolument qui en application de l'art. 8 du règlement du Tribunal pénal fédéral du 31 août 2010 sur les frais, émoluments, dépens et indemnités de la procédure pénale fédérale (RFPPF; RS 173.713.162) sera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