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BB.2017.16 vom 19. Juli 2017</w:t>
      </w:r>
    </w:p>
    <w:p>
      <w:r>
        <w:t>Bundesstrafgericht, 2017-07-19, FR</w:t>
      </w:r>
    </w:p>
    <w:p>
      <w:r>
        <w:rPr>
          <w:b/>
        </w:rPr>
        <w:t xml:space="preserve">Quelle: </w:t>
      </w:r>
      <w:r>
        <w:t>https://mcp.opencaselaw.ch/entscheid/bstger_BB.2017.16</w:t>
      </w:r>
    </w:p>
    <w:p>
      <w:r>
        <w:t>FR: TPF BB.2017.16 du 19 juillet 2017</w:t>
      </w:r>
    </w:p>
    <w:p>
      <w:r>
        <w:t>IT: TPF BB.2017.16 del 19 luglio 2017</w:t>
      </w:r>
    </w:p>
    <w:p>
      <w:pPr>
        <w:pStyle w:val="Heading2"/>
      </w:pPr>
      <w:r>
        <w:t>Regeste</w:t>
      </w:r>
    </w:p>
    <w:p>
      <w:r>
        <w:t>Séquestre (art. 263 ss CPP). Refus de classer la procédure (art. 300 al. 2 CPP).</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Toute partie qui a un intérêt juridiquement protégé à l’annulation ou à la modification d’une décision a qualité pour recourir contre celle-ci (art. 382 al. 1 CPP).</w:t>
      </w:r>
    </w:p>
    <w:p>
      <w:r>
        <w:rPr>
          <w:b/>
        </w:rPr>
        <w:t>E. 1.2</w:t>
      </w:r>
    </w:p>
    <w:p>
      <w:r>
        <w:t>S’agissant d’une mesure de séquestre d’un compte bancaire, seul le titulaire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consid. 1.5 et les références citées). En l'espèce, le recourant est le titulaire de la relation bancaire visée par la mesure ici entreprise. Il dispose ainsi d'un intérêt juridiquement protégé à l'annulation de cette dernière (v. aussi ATF 133 IV 278 consid. 1.3).</w:t>
      </w:r>
    </w:p>
    <w:p>
      <w:r>
        <w:rPr>
          <w:b/>
        </w:rPr>
        <w:t>E. 1.3</w:t>
      </w:r>
    </w:p>
    <w:p>
      <w:r>
        <w:t>S'agissant du refus de classer la procédure SV.11.0268 prononcé par le MPC, il faut relever que l'introduction d'une procédure préliminaire (et donc notamment l'ouverture d'une instruction par le ministère public; art. 300 al. 1 let. b CPP) n'est pas sujette à recours, à moins que le prévenu fasse valoir qu'elle viole l'interdiction de la double poursuite (art. 300 al. 2 CPP). Seules les décisions clôturant la procédure préliminaire peuvent être attaquées,</w:t>
      </w:r>
    </w:p>
    <w:p>
      <w:r>
        <w:t>- 5 -</w:t>
      </w:r>
    </w:p>
    <w:p>
      <w:r>
        <w:t>pour autant qu'elles mettent un terme définitif à la procédure pénale, à l'instar du classement et de l'ordonnance pénale (mais pas la mise en accusation puisque dans ce cas la procédure est portée devant un tribunal et donc poursuivie). Il s'ensuit que les parties ne peuvent pas recourir contre l'introduction ou la poursuite de la procédure préliminaire (arrêts du Tribunal fédéral 1B_532/2012 du 30 octobre 2012, consid. 1.3; 1B_209/2011 du</w:t>
      </w:r>
    </w:p>
    <w:p>
      <w:r>
        <w:rPr>
          <w:b/>
        </w:rPr>
        <w:t>E. 1.4</w:t>
      </w:r>
    </w:p>
    <w:p>
      <w:r>
        <w:t>En l'occurrence, en ce qui concerne la procédure BB.2017.26, il faut relever au surplus que le recourant, n'étant pas prévenu dans la procédure SV.11.0268 mais seulement tiers saisi, ne peut en aucun cas se prévaloir de l'exception prévue à l'art. 300 al. 2 CPP. Son recours du 3 février 2017 doit donc être déclaré irrecevable.</w:t>
      </w:r>
    </w:p>
    <w:p>
      <w:r>
        <w:rPr>
          <w:b/>
        </w:rPr>
        <w:t>E. 1.5</w:t>
      </w:r>
    </w:p>
    <w:p>
      <w:r>
        <w:t>En définitive, seul est recevable le recours formé par A. contre la mesure de séquestre du 13 janvier 2017 visant le compte dont il est titulaire auprès de la banque B.</w:t>
      </w:r>
    </w:p>
    <w:p>
      <w:r>
        <w:t>2. Si des raisons objectives le justifient, le ministère public et les tribunaux peuvent ordonner la jonction ou la disjonction de procédures pénales (art. 30 CPP). En l'occurrence, le contexte factuel dans lequel s'inscrit la présente procédure pénale est identique pour les deux recours. Le recourant, qui est représenté par le même conseil juridique dans les deux procédures de recours, fournit des arguments analogues dans ses mémoires. Il se justifie dès lors de joindre les causes BB.2017.16 et BB.2017.26.</w:t>
      </w:r>
    </w:p>
    <w:p>
      <w:r>
        <w:t>3. Le recourant conteste la décision du 13 janvier 2017, par laquelle le MPC a de nouveau séquestré – après les avoir partiellement libérées par son ordonnance pénale du 23 décembre 2016 (v. act. 1.2) – les valeurs patrimoniales déposées sur la relation bancaire n. 1 auprès de la banque B. Il affirme que par l'ordonnance pénale en question il a été condamné pour gestion déloyale, et que les chefs de prévention de blanchiment d'argent et</w:t>
      </w:r>
    </w:p>
    <w:p>
      <w:r>
        <w:t>- 6 -</w:t>
      </w:r>
    </w:p>
    <w:p>
      <w:r>
        <w:t>organisation criminelle ont été expressément abandonnés. Pour des motifs indiscernables, le MPC aurait décidé de perquisitionner en date du 12 janvier 2017, dans le cadre de la procédure SV.11.0268, un coffre dont il connaissait l'existence depuis plusieurs années et de procéder, sur la base du contenu de celui-ci, au séquestre de la relation bancaire susmentionnée. Or, aucun fait nouveau n'étant intervenu entre le 23 décembre 2016 et le 13 janvier 2017, la reprise de la procédure SV.11.0268 ne serait pas justifiée. Il ajoute que la saisie intempestive de valeurs patrimoniales tout récemment libérées par une décision désormais entrée en force ne démontrerait pas seulement un singulier manque de diligence de la part de la direction de la procédure, mais créerait également une situation d'insécurité juridique qui n'aurait pas lieu d'être dans notre système judiciaire et qui serait précisément prohibée par le principe de ne bis in idem. Le séquestre du 13 janvier 2017 contreviendrait enfin aussi au principe de la bonne foi, vu que l'ordonnance pénale du 23 décembre 2016 serait le fruit d'un accord intervenu entre le recourant et le MPC après de longues discussions sous la foi du Palais (v. act. 1 p. 5 et ss).</w:t>
      </w:r>
    </w:p>
    <w:p>
      <w:r>
        <w:t>3.1 En ce qui concerne le grief relatif à la reprise de la procédure SV.11.0268, la Cour de céans renvoie aux considérants précédents (v. supra consid. 1.3). À cet égard, il faut préciser que l'ordonnance pénale du 23 décembre 2016 ne concerne que le recourant, la procédure SV.11.0268 s'étant poursuivie contre inconnus (v. BB.2016.26 act. 3.1 p. 2 et 3.2). Elle n'a jamais été clôturée et elle n'a pas été reprise à l'encontre du recourant. Comme relevé par le MPC, le recourant occupe maintenant la position d'un tiers saisi. Certes, on peut se demander pourquoi l'autorité de poursuite a perquisitionné seulement en janvier 2017 – soit après l'ordonnance pénale du 23 décembre 2016 – le contenu du coffre n. 50 lié à la relation n. 2 dont D. Ltd est titulaire auprès de la banque D., alors que son existence était connue par l'autorité depuis plusieurs années (cf. "Transaktionsanalysebericht über die bislang bekannten Bankbeziehungen von A. in der Schweiz" du 29 juillet 2013 du Centre de compétences Economie et Finances [ci-après: CCEF] du MPC [v. act. 1.3]) et le recourant apparaissait comme ayant-droit économique de D. Ltd (v. act. 1.3 p. 2). Le MPC n'a pas fourni d'explication à cet égard, se limitant à affirmer qu'«il eut certes été préférable que ce coffre-fort fût ouvert avant le prononcé de l'ordonnance pénale. Néanmoins, tenu par le caractère impératif de la poursuite pénale, le MPC ne peut ignorer les nouveaux éléments saisis lors de la perquisition du 12 janvier 2017 et ceux apportés par les premières clarifications complémentaires qui pourraient être constitutifs d'actes de gestion déloyale au sens de l'art. 158 CP» (v. act. 4 p. 4). S'il est vrai que le recourant pouvait s'attendre à ce que sa position soit réglée par l'ordonnance pénale du 23 décembre 2016, il faut aussi relever qu’il connaissait lui aussi</w:t>
      </w:r>
    </w:p>
    <w:p>
      <w:r>
        <w:t>- 7 -</w:t>
      </w:r>
    </w:p>
    <w:p>
      <w:r>
        <w:t>l'existence du coffre en question et ne peut prétendre être à l'abri de toute autre poursuite suite à de nouveaux développements dans l'enquête, toujours ouverte, menée par l'autorité pénale, surtout si, comme l'affirme le MPC, les clarifications complémentaires liées à l'analyse du contenu du coffre susmentionné pourraient étayer des soupçons de nouvelles infractions, au-delà de celles pour lesquelles le recourant a été condamné par ordonnance pénale du 23 décembre 2016. Partant, on ne peut pas conclure à une violation du principe de la bonne foi (art. 3 al. 2 let. a CPP) de la part du MPC, raison pour laquelle ce grief doit être rejeté.</w:t>
      </w:r>
    </w:p>
    <w:p>
      <w:r>
        <w:t>3.2</w:t>
      </w:r>
    </w:p>
    <w:p>
      <w:r>
        <w:t>3.2.1 Le séquestre prévu par l’art. 263 CPP est une mesure provisoire (conservatoire) qui permet la saisie de moyens de preuve, respectivement d'objets ou de valeurs qui pourraient faire l’objet d’une confiscation en application du droit pénal fédéral (arrêt du Tribunal fédéral 1S.2/2004 du</w:t>
      </w:r>
    </w:p>
    <w:p>
      <w:r>
        <w:rPr>
          <w:b/>
        </w:rPr>
        <w:t>E. 6</w:t>
      </w:r>
    </w:p>
    <w:p>
      <w:r>
        <w:t>août 2004, consid. 2.2). Des indices suffisants doivent permettre de suspecter que les valeurs patrimoniales ont servi à commettre une infraction ou en sont le produit, que les infractions aient été commises par leur détenteur ou par un tiers (art. 197 CPP; arrêt du Tribunal pénal fédéral BB.2005.42 du 14 septembre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SCHMID, Schweizerische Strafprozessordnung, Praxiskommentar, 2e éd., Zurich/St. Gall 2013, n° 5 ad art. 263; LEMBO/JULEN BERTHOD, Commentaire romand CPP, Bâle 2011, n° 26 ad art. 263). La mesure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(art. 197 CPP ainsi que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t>3.2.2 Selon le MPC, en substance, au vu du contenu des documents découverts dans le coffre n. 50 lié à la relation n. 2 auprès de la banque B., il ne serait</w:t>
      </w:r>
    </w:p>
    <w:p>
      <w:r>
        <w:t>- 8 -</w:t>
      </w:r>
    </w:p>
    <w:p>
      <w:r>
        <w:t>pas impossible que le recourant ait bénéficié d'autres rétrocessions par rapport à celles mise en évidence dans l'ordonnance pénale du 23 décembre 2016, le prononcé d'une nouvelle créance compensatrice n'étant, en l'état, pas exclu.</w:t>
      </w:r>
    </w:p>
    <w:p>
      <w:r>
        <w:t>Le MPC affirme que parmi les documents saisis lors de la perquisition du coffre-fort se trouvaient notamment un contrat de location du 20 novembre 2000, non signé, entre la société E., à Genève, et A. et le bureau F., relatif à une location sise à Z., France, pour un loyer mensuel de fr. 50'000.– pendant 5 ans, soit au total fr. 3 millions. Le coffre-fort contenait également deux avis de débit de fr. 250'000.– chacun, d'un compte ouvert auprès de la banque C. au nom du bureau F. datés du 2 août 2004 dont les détails de paiement indiquent "rent of (June, July, August, September, October 2003) et rent of January, February, March, April, Mai 2004 relating to the house of Mr. A." (v. act. 4 p. 3). Selon ces deux avis de débit, le bénéficiaire de ces paiements serait la société E. SA, Genève, société mise en faillite par jugement du 2 février 2004 du Tribunal de première instance à Genève (v. act. 4.2). Le MPC ajoute que le coffre-fort contenait également des courriers et notes manuscrites de la société E. SA en lien avec l'acquisition d'une maison. Il ressortirait des dernières clarifications en cours "qu'il n'est pas impossible que le recourant ait bénéficié de rétrocessions dans ce contexte de location et/ou d'acquisition de bien immobilier" (v. act. 4 p. 3).</w:t>
      </w:r>
    </w:p>
    <w:p>
      <w:r>
        <w:t>3.2.3 À la lumière des éléments récoltés par le MPC à ce stade, force est d'admettre qu'il existe – en l'état – des indices suffisants permettant de suspecter l'existence de rétrocessions illicites issues des rapports entre le recourant et E. SA, ce qui pourrait amener à prononcer une créance compensatrice à la charge du recourant s'il devait être condamné pour des nouveaux actes de gestion déloyale.</w:t>
      </w:r>
    </w:p>
    <w:p>
      <w:r>
        <w:t>Or, s'il est vrai, comme le souligne le recourant, que le rapport du 29 juillet 2013 du CCEF mentionnait déjà des opérations intervenues en 2001 et 2002 entre lui et E. SA (v. act. 6.1), il faut relever que les explications fournies à l'époque à leur propos ne sont pas étayées aujourd'hui par les actes découverts dans ledit coffre-fort. Dans son écrit du 30 juin 2016 adressé au MPC le recourant affirmait que "un montant de CHF 800'000.–, transféré le 14 novembre 2001 sur un compte UBS, était un investissement dans la société immobilière E. SA. E. SA a remboursé CHF 290'000.– le 16 octobre 2002 à A., comme un revenu d'investissement en France" (v. act. 6.2 p. 12). En revanche, la perquisition du coffre-fort susmentionné a révélé un contrat de location entre le recourant et le bureau F., d'une part, et E. SA, d’autre part, et des notes manuscrites relatives à l'achat d'une maison (v. consid. 3.2.2 supra). Aussi ces documents paraissent-ils plus liés au paiement de</w:t>
      </w:r>
    </w:p>
    <w:p>
      <w:r>
        <w:t>- 9 -</w:t>
      </w:r>
    </w:p>
    <w:p>
      <w:r>
        <w:t>loyers qu’à des investissements. En tout état de cause il incombe au MPC d’enquêter plus avant afin de préciser le principe et le montant précis du séquestre; dans l’attente le séquestre peut être maintenu afin de garantir une éventuelle créance compensatrice.</w:t>
      </w:r>
    </w:p>
    <w:p>
      <w:r>
        <w:t>3.3 Sur le vu de l’ensemble des éléments qui précèdent, il apparaît que la mesure de séquestre visant la relation n. 1, y compris les sous-comptes liés n. 3, n. 4 et n. 5, dont le recourant est titulaire auprès de la banque B. repose sur des soupçons suffisants et n’est – à ce stade de l’enquête – pas disproportionnée quant à son principe et à sa durée.</w:t>
      </w:r>
    </w:p>
    <w:p>
      <w:r>
        <w:t>4. En définitive, le recours du 3 février 2017 contre le refus de classement du 27 janvier 2017 doit donc être déclaré irrecevable. Le recours du 26 janvier 2017 contre l'ordonnance de séquestre du 13 janvier 2017 se révèle mal fondé et doit être rejeté.</w:t>
      </w:r>
    </w:p>
    <w:p>
      <w:r>
        <w:t>5. 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Le recourant supportera dès lors un émolument qui, en application de l’art. 8 du règlement du Tribunal pénal fédéral du 31 août 2010 sur les frais, émoluments, dépens et indemnités de la procédure pénale fédérale (RFPPF; RS 173.713.162) sera fixé à fr.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