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BB.2017.150 vom 10. Oktober 2017</w:t>
      </w:r>
    </w:p>
    <w:p>
      <w:r>
        <w:t>Bundesstrafgericht, 2017-10-10, DE</w:t>
      </w:r>
    </w:p>
    <w:p>
      <w:r>
        <w:rPr>
          <w:b/>
        </w:rPr>
        <w:t xml:space="preserve">Quelle: </w:t>
      </w:r>
      <w:r>
        <w:t>https://mcp.opencaselaw.ch/entscheid/bstger_BB.2017.150</w:t>
      </w:r>
    </w:p>
    <w:p>
      <w:r>
        <w:t>FR: TPF BB.2017.150 du 10 octobre 2017</w:t>
      </w:r>
    </w:p>
    <w:p>
      <w:r>
        <w:t>IT: TPF BB.2017.150 del 10 ottobre 2017</w:t>
      </w:r>
    </w:p>
    <w:p>
      <w:pPr>
        <w:pStyle w:val="Heading2"/>
      </w:pPr>
      <w:r>
        <w:t>Regeste</w:t>
      </w:r>
    </w:p>
    <w:p>
      <w:r>
        <w:t>Einziehung bei Einstellung des Verfahrens (Art. 320 Abs. 2 i.V.m. Art. 322 Abs. 2 StPO).</w:t>
      </w:r>
    </w:p>
    <w:p>
      <w:pPr>
        <w:pStyle w:val="Heading2"/>
      </w:pPr>
      <w:r>
        <w:t>Erwägungen</w:t>
      </w:r>
    </w:p>
    <w:p>
      <w:r>
        <w:rPr>
          <w:b/>
        </w:rPr>
        <w:t>E. 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Die Beschwerde gegen schriftlich oder mündlich eröffnete Entscheide ist innert zehn Tagen schriftlich und begrün- det einzureichen (Art. 396 Abs. 1 StPO). Mit ihr können Rechtsverletzungen gerügt werden, einschliesslich Überschreitung und Missbrauch des Ermes- sens, Rechtsverweigerung und Rechtsverzögerung (Art. 393 Abs. 2 lit. a StPO), sowie die unvollständige oder unrichtige Feststellung des Sach- verhalts (Art. 393 Abs. 2 lit. b StPO) und die Unangemessenheit (Art. 393 Abs. 2 lit. c StPO).</w:t>
      </w:r>
    </w:p>
    <w:p>
      <w:r>
        <w:t>Die Beschwerde ist fristgerecht erhoben worden. Aufgrund der Zustellung über die Bank ist die Legitimation der Beschwerdeführerin wahrscheinlich. Wie es sich damit genau verhält, ist aufgrund des Verfahrensausganges nicht weiter zu klären. Die übrigen Eintretensvoraussetzungen geben zu kei- nen Bemerkungen Anlass.</w:t>
      </w:r>
    </w:p>
    <w:p>
      <w:r>
        <w:rPr>
          <w:b/>
        </w:rPr>
        <w:t>E. 2</w:t>
      </w:r>
    </w:p>
    <w:p>
      <w:r>
        <w:t>Aufgrund des Rückzugs der Beschwerde vom 4. Oktober 2017 ist das Ver- fahren gegenstandslos geworden und daher entsprechend als erledigt von der Geschäftskontrolle abzuschreiben.</w:t>
      </w:r>
    </w:p>
    <w:p>
      <w:r>
        <w:rPr>
          <w:b/>
        </w:rPr>
        <w:t>E. 3</w:t>
      </w:r>
    </w:p>
    <w:p>
      <w:r>
        <w:t>Aufgrund der besonderen Umstände ist keine Gerichtsgebühr zu erheben.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