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BB.2017.143 vom 16. November 2017</w:t>
      </w:r>
    </w:p>
    <w:p>
      <w:r>
        <w:t>Bundesstrafgericht, 2017-11-16, FR</w:t>
      </w:r>
    </w:p>
    <w:p>
      <w:r>
        <w:rPr>
          <w:b/>
        </w:rPr>
        <w:t xml:space="preserve">Quelle: </w:t>
      </w:r>
      <w:r>
        <w:t>https://mcp.opencaselaw.ch/entscheid/bstger_BB.2017.143</w:t>
      </w:r>
    </w:p>
    <w:p>
      <w:r>
        <w:t>FR: TPF BB.2017.143 du 16 novembre 2017</w:t>
      </w:r>
    </w:p>
    <w:p>
      <w:r>
        <w:t>IT: TPF BB.2017.143 del 16 novembre 2017</w:t>
      </w:r>
    </w:p>
    <w:p>
      <w:pPr>
        <w:pStyle w:val="Heading2"/>
      </w:pPr>
      <w:r>
        <w:t>Regeste</w:t>
      </w:r>
    </w:p>
    <w:p>
      <w:r>
        <w:t>Renvoi au Ministère public de la Confédération.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octobre 2009, en particulier leur éventuelle intégration dans le patrimoine des recourants, à charge ensuite pour cette Cour d’examiner à nouveau si une créance compensatrice de USD 3 mios peut être prononcée (arrêt du Tribunal fédéral précité ibidem);</w:t>
      </w:r>
    </w:p>
    <w:p>
      <w:r>
        <w:t>force est cependant de constater que le dossier en l’état ne permet pas à cette Cour de procéder aux constatations requises par le Tribunal fédéral et donc de statuer sur le sort de la créance compensatrice concernée;</w:t>
      </w:r>
    </w:p>
    <w:p>
      <w:r>
        <w:t>le MPC relève par ailleurs à cet égard qu’il est dans l’impossibilité de déterminer le sort des montants transférés au pays Z. le 20 octobre 2009 par</w:t>
      </w:r>
    </w:p>
    <w:p>
      <w:r>
        <w:t>- 4 -</w:t>
      </w:r>
    </w:p>
    <w:p>
      <w:r>
        <w:t>feu D. (act. 5 p. 3 no 10);</w:t>
      </w:r>
    </w:p>
    <w:p>
      <w:r>
        <w:t>ce dernier souligne cependant que pour déterminer si une créance compensatrice peut effectivement être prononcée en l’espèce, il y a lieu de clarifier encore si au décès de leur père, les recourants ont hérité d’autres avoirs, ce qui justifie des mesures d’instruction complémentaires;</w:t>
      </w:r>
    </w:p>
    <w:p>
      <w:r>
        <w:t>les recourants partagent ce dernier point de vue (act. 8 p. 2);</w:t>
      </w:r>
    </w:p>
    <w:p>
      <w:r>
        <w:t>l’autorité de céans ne pouvant procéder elle-même aux mesures d’investigation additionnelles qui s’imposent aujourd’hui au regard de l’injonction du Tribunal fédéral, il y a lieu de renvoyer le dossier au MPC, afin qu’il envisage de prendre les mesures nécessaires;</w:t>
      </w:r>
    </w:p>
    <w:p>
      <w:r>
        <w:t>la présente décision est rendue sans frais.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