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BB.2017.137 vom 26. Oktober 2017</w:t>
      </w:r>
    </w:p>
    <w:p>
      <w:r>
        <w:t>Bundesstrafgericht, 2017-10-26, DE</w:t>
      </w:r>
    </w:p>
    <w:p>
      <w:r>
        <w:rPr>
          <w:b/>
        </w:rPr>
        <w:t xml:space="preserve">Quelle: </w:t>
      </w:r>
      <w:r>
        <w:t>https://mcp.opencaselaw.ch/entscheid/bstger_BB.2017.137</w:t>
      </w:r>
    </w:p>
    <w:p>
      <w:r>
        <w:t>FR: TPF BB.2017.137 du 26 octobre 2017</w:t>
      </w:r>
    </w:p>
    <w:p>
      <w:r>
        <w:t>IT: TPF BB.2017.137 del 26 ottobre 2017</w:t>
      </w:r>
    </w:p>
    <w:p>
      <w:pPr>
        <w:pStyle w:val="Heading2"/>
      </w:pPr>
      <w:r>
        <w:t>Regeste</w:t>
      </w:r>
    </w:p>
    <w:p>
      <w:r>
        <w:t>Wechsel der amtlichen Verteidigung (Art. 134 Abs. 2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i.V.m. Art. 20 Abs. 1 lit. b StPO und Art. 37 Abs. 1 StBOG).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Die Beschwerdegegnerin verneint das Vorliegen eines gültigen Anfech- tungsobjekts, da sie am 16. August 2017 keinen Antrag auf Einsetzung von RA Walder als amtlichen Verteidiger abgelehnt, sondern die bereits am</w:t>
      </w:r>
    </w:p>
    <w:p>
      <w:r>
        <w:rPr>
          <w:b/>
        </w:rPr>
        <w:t>E. 1.3</w:t>
      </w:r>
    </w:p>
    <w:p>
      <w:r>
        <w:t>Der Beschwerdeführer ist Beschuldigter und damit Partei in der vorliegenden Strafuntersuchung (Art. 104 Abs. 1 lit. a StPO). Er ist durch die abschlägige Antwort auf seinen Antrag auf Einsetzung von RA Walder als amtlicher Ver- teidiger beschwert und somit zur Beschwerdeführung berechtigt.</w:t>
      </w:r>
    </w:p>
    <w:p>
      <w:r>
        <w:t>- 5 -</w:t>
      </w:r>
    </w:p>
    <w:p>
      <w:r>
        <w:rPr>
          <w:b/>
        </w:rPr>
        <w:t>E. 2</w:t>
      </w:r>
    </w:p>
    <w:p>
      <w:r>
        <w:t>Mai 2016 erfolgte Ablehnung nicht in Wiedererwägung gezogen habe (act. 3, Ziff. II.1.1, S. 2 f.). Auch Letzteres stellt jedoch eine – wenn auch in eingeschränktem Masse – anfechtbare Verfahrenshandlung im Sinne von Art. 393 Abs. 1 lit. a StPO dar (vgl. hierzu GUIDON, Die Beschwerde gemäss Schweizerischer Strafprozessordnung, Berner Diss., Zürich/St. Gallen 2011, N. 476).</w:t>
      </w:r>
    </w:p>
    <w:p>
      <w:r>
        <w:rPr>
          <w:b/>
        </w:rPr>
        <w:t>E. 2.1</w:t>
      </w:r>
    </w:p>
    <w:p>
      <w:r>
        <w:t>Der Beschwerdeführer macht in seiner Beschwerde im Wesentlichen gel- tend, beim Verfahren SV.15.1349 handle es sich um ein neues Verfahren. Er habe sich in diesem Verfahren nicht im Sinne von Art. 133 Abs. 2 StPO zur Wahl seines amtlichen Verteidigers äussern können, womit sein An- spruch auf rechtliches Gehör verletzt worden sei (vgl. act. 1, Rz. 10 und 21).</w:t>
      </w:r>
    </w:p>
    <w:p>
      <w:r>
        <w:rPr>
          <w:b/>
        </w:rPr>
        <w:t>E. 2.2</w:t>
      </w:r>
    </w:p>
    <w:p>
      <w:r>
        <w:t>Wie den Akten eindeutig entnommen werden kann, handelt es sich beim Verfahren SV.15.1349 nicht um ein neues Verfahren mit neuen Vorwürfen gegen den Beschwerdeführer, sondern lediglich um die separate Fortfüh- rung eines Teils des bisher unter der Verfahrensnummer EAII.04.0277 ge- führten Verfahrens. Das ergibt sich eindeutig aus der Verfügung vom 9. Ok- tober 2015 betreffend Verfahrenstrennung (act. 3.15). Zwar erging die Ein- setzung von RA B. zum amtlichen Verteidiger des Beschwerdeführers am</w:t>
      </w:r>
    </w:p>
    <w:p>
      <w:r>
        <w:rPr>
          <w:b/>
        </w:rPr>
        <w:t>E. 2.3</w:t>
      </w:r>
    </w:p>
    <w:p>
      <w:r>
        <w:t>Will man den Antrag des Beschwerdeführers vom 11. August 2017 in einen Antrag auf Wechsel des amtlichen Verteidigers umdeuten, so ist vorab an die oben erwähnten Modalitäten der Einsetzungsverfügung vom 5. Septem- ber 2012 zu erinnern (act. 3.13). Nach den im Vorfeld dieser Verfügung er- folgten mehrfachen Wechseln der amtlichen Verteidigung und der nunmehr über fünf Jahre andauernden amtlichen Verteidigung des Beschwerdefüh- rers durch RA B. ist zudem für die Annahme der Gründe, den amtlichen Ver- teidiger im jetzigen Stadium des Verfahrens gestützt auf Art. 134 Abs. 2</w:t>
      </w:r>
    </w:p>
    <w:p>
      <w:r>
        <w:t>- 6 -</w:t>
      </w:r>
    </w:p>
    <w:p>
      <w:r>
        <w:t>StPO auszuwechseln, grosse Zurückhaltung zu üben. Der Beschwerdefüh- rer vermag in seiner Beschwerdeschrift und in den Beilagen (insbesondere act. 1.3 und 1.4) nichts vorzubringen, wonach sich vorliegend ein Wechsel der amtlichen Verteidigung im Sinne von Art. 134 Abs. 2 StPO aufdrängen würde.</w:t>
      </w:r>
    </w:p>
    <w:p>
      <w:r>
        <w:t>3. Die Beschwerde erweist sich demnach in allen Punkten als unbegründet. Sie ist abzuweisen.</w:t>
      </w:r>
    </w:p>
    <w:p>
      <w:r>
        <w:t>4. Bei diesem Ausgang des Verfahrens sind die Gerichtskosten dem unterlie- genden Beschwerdeführer aufzuerlegen (Art. 428 Abs. 1 StPO). Die Ge- richtsgebühr ist auf Fr. 2'000.– festzusetzen (Art. 73 StBOG i.V.m. Art. 5 und</w:t>
      </w:r>
    </w:p>
    <w:p>
      <w:r>
        <w:rPr>
          <w:b/>
        </w:rPr>
        <w:t>E. 5</w:t>
      </w:r>
    </w:p>
    <w:p>
      <w:r>
        <w:t>September 2012 im Rahmen des Verfahrens EAII.04.0277. Entscheidend ist aber, dass er hiermit auch bereits mit der Verteidigung bezüglich der iden- tischen Vorwürfe, die nun Gegenstand des Verfahrens SV.15.1349 bilden, betraut worden ist. Unterstrichen wird diese Tatsache durch den Umstand, dass im Verfahren SV.15.1349 mit der Trennungsverfügung die Akten des bisher unter der Nummer EAII.04.0277 geführten Stammverfahrens beige- zogen wurden und die im Verfahren EAII.04.0277 verfügten Massnahmen auch im Verfahren SV.15.1349 fortdauern. Die vom Beschwerdeführer allein an den unterschiedlichen Verfahrensnummern aufgemachte Argumentation, wonach das Verfahren mit der neuen Verfahrensnummer eine neue Einset- zung eines amtlichen Verteidigers erforderlich mache, greift angesichts der Aktenlage eindeutig zu kurz. Wurde RA B. auch bezüglich des Verfahrens SV.15.1349 bereits als amtlicher Verteidiger des Beschwerdeführers einge- setzt, so ergab sich auch keinerlei Notwendigkeit, den Beschwerdeführer im Sinne von Art. 133 Abs. 2 StPO anzuhören. Die Beschwerdegegnerin war somit auch nicht gehalten, auf ihre bereits am 2. Mai 2016 erfolgte Ableh- nung des Antrags des Beschwerdeführers auf Einsetzung von RA Walder zum amtlichen Verteidiger zurückzukommen. Die Beschwerde erweist sich in diesem Punkt als unbegründet.</w:t>
      </w:r>
    </w:p>
    <w:p>
      <w:r>
        <w:rPr>
          <w:b/>
        </w:rPr>
        <w:t>E. 8</w:t>
      </w:r>
    </w:p>
    <w:p>
      <w:r>
        <w:t>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