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BB.2017.135 vom 13. September 2017</w:t>
      </w:r>
    </w:p>
    <w:p>
      <w:r>
        <w:t>Bundesstrafgericht, 2017-09-13, DE</w:t>
      </w:r>
    </w:p>
    <w:p>
      <w:r>
        <w:rPr>
          <w:b/>
        </w:rPr>
        <w:t xml:space="preserve">Quelle: </w:t>
      </w:r>
      <w:r>
        <w:t>https://mcp.opencaselaw.ch/entscheid/bstger_BB.2017.135</w:t>
      </w:r>
    </w:p>
    <w:p>
      <w:r>
        <w:t>FR: TPF BB.2017.135 du 13 septembre 2017</w:t>
      </w:r>
    </w:p>
    <w:p>
      <w:r>
        <w:t>IT: TPF BB.2017.135 del 13 settembre 2017</w:t>
      </w:r>
    </w:p>
    <w:p>
      <w:pPr>
        <w:pStyle w:val="Heading2"/>
      </w:pPr>
      <w:r>
        <w:t>Regeste</w:t>
      </w:r>
    </w:p>
    <w:p>
      <w:r>
        <w:t>Entscheid über die beschlagnahmten Gegenstände (Art. 267 StPO).</w:t>
      </w:r>
    </w:p>
    <w:p>
      <w:pPr>
        <w:pStyle w:val="Heading2"/>
      </w:pPr>
      <w:r>
        <w:t>Erwägungen</w:t>
      </w:r>
    </w:p>
    <w:p>
      <w:r>
        <w:rPr>
          <w:b/>
        </w:rPr>
        <w:t>E. 1</w:t>
      </w:r>
    </w:p>
    <w:p>
      <w:r>
        <w:t>Wer ein Rechtsmittel ergriffen hat, kann dieses bei schriftlichen Verfahren bis zum Abschluss des Schriftenwechsels und allfälliger Beweis- oder Ak- tenergänzungen zurückziehen (Art. 386 Abs. 2 lit. b StPO). Der Rückzug der Beschwerde beendet den Rechtsstreit, weshalb das Beschwerdeverfahren als erledigt von der Geschäftskontrolle abgeschrieben werden kann (vgl. hierzu sinngemäss ZIEGLER/KELLER, Basler Kommentar, 2. Aufl., Ba- sel 2014, Art. 386 StPO N. 4). Der Rückzug der Beschwerdeführerin erfolgte vor Abschluss des Schriftenwechsels, mithin rechtsgültig, weshalb das Ver- fahren als erledigt abzuschreiben ist.</w:t>
      </w:r>
    </w:p>
    <w:p>
      <w:r>
        <w:rPr>
          <w:b/>
        </w:rPr>
        <w:t>E. 2.1</w:t>
      </w:r>
    </w:p>
    <w:p>
      <w:r>
        <w:t>Die Beschwerdeführerin ersucht in ihrem Rückzug der Beschwerde, „ange- sichts der Begleitumstände dieses Verfahrens“ um eine Übernahme der Ver- fahrenskosten und ihrer Kosten für die Rechtsvertretung durch die Staats- kasse. Dabei bringt sie zusammengefasst vor, dass ihr keine andere Wahl geblieben sei, als zur Beschwerde zu greifen. Erst die Beschwerde habe die jetzige Lösung ermöglicht. Diese Lösung hätte allerdings schon erreicht wer- den können, wenn die Beschwerdeführerin nicht über das Verhalten der Be- schuldigten und der Verteidigung fehlerhaft informiert worden wäre. Die BA hätte ausserdem auf die Zustimmung der Beschwerdeführerin zur Löschung</w:t>
      </w:r>
    </w:p>
    <w:p>
      <w:r>
        <w:t>- 5 -</w:t>
      </w:r>
    </w:p>
    <w:p>
      <w:r>
        <w:t>der Daten bzw. der Vernichtung des iPhones vom 11. August 2017 eingehen können (act. 11, S. 2 f.).</w:t>
      </w:r>
    </w:p>
    <w:p>
      <w:r>
        <w:rPr>
          <w:b/>
        </w:rPr>
        <w:t>E. 2.2</w:t>
      </w:r>
    </w:p>
    <w:p>
      <w:r>
        <w:t>Die Parteien haben die Kosten des Rechtsmittelverfahrens nach Massgabe ihres Obsiegens oder Unterliegens zu tragen. Dabei gilt die Partei, die das Rechtsmittel zurückzieht, als unterliegend (Art. 428 Abs. 1 StPO). Die Be- schwerdeführerin hat demnach bei diesem Ausgang des Verfahrens dessen Kosten zu tragen. Für eine Entschädigung ihrer Anwaltskosten und Auferle- gung an den Staat besteht keine rechtliche Handhabe.</w:t>
      </w:r>
    </w:p>
    <w:p>
      <w:r>
        <w:rPr>
          <w:b/>
        </w:rPr>
        <w:t>E. 2.3.1</w:t>
      </w:r>
    </w:p>
    <w:p>
      <w:r>
        <w:t>Ergänzend ist nachfolgend summarisch auf den Antrag um (zumindest teil- weise) Übernahme der Verfahrens- und Anwaltskosten durch die Staats- kasse einzugehen:</w:t>
      </w:r>
    </w:p>
    <w:p>
      <w:r>
        <w:t>Die Beschwerdeführerin bringt vor, dass sie vor Einreichung der Beschwerde gewillt gewesen sei, eine Lösung zu finden, welche eine Anrufung der Be- schwerdekammer des Bundesstrafgerichts vermieden hätte (act. 11, S. 2). Indem die BA die Besprechung mit B. und der Beschwerdeführerin habe ab- sagen lassen mit der Begründung, B. sehe in Bezug auf die beschlagnahm- ten Firmengeräte „keinen Verhandlungsspielraum“, hätte ein Missverständ- nis seinen Lauf genommen.</w:t>
      </w:r>
    </w:p>
    <w:p>
      <w:r>
        <w:rPr>
          <w:b/>
        </w:rPr>
        <w:t>E. 2.3.2</w:t>
      </w:r>
    </w:p>
    <w:p>
      <w:r>
        <w:t>Zu welchem Zeitpunkt der Wille zur Kooperation von B. in Frage gestellt wurde, wie dieses Missverständnis genau entstand und durch wen, kann durch die Beschwerdekammer jedoch nicht genau eruiert werden. Jedenfalls scheint nicht belegt, dass allein das Verhalten der BA dazu geführt hätte. B. hatte vom Schreiben vom 10. August 2017 eine Kopie erhalten und hätte das Missverständnis ebenfalls auflösen können.</w:t>
      </w:r>
    </w:p>
    <w:p>
      <w:r>
        <w:rPr>
          <w:b/>
        </w:rPr>
        <w:t>E. 2.3.3</w:t>
      </w:r>
    </w:p>
    <w:p>
      <w:r>
        <w:t>Die Beschwerdeführerin kann auch keinen Entschädigungsanspruch aus Art. 436 Abs. 1 i.V.m. Art. 434 Abs. 1 StPO ableiten, da sie im Beschwerde- verfahren gerade nicht als „Dritte“ fungiert, sondern selbst im eigentlichen Sinne Partei des Beschwerdeverfahrens war.</w:t>
      </w:r>
    </w:p>
    <w:p>
      <w:r>
        <w:rPr>
          <w:b/>
        </w:rPr>
        <w:t>E. 2.3.4</w:t>
      </w:r>
    </w:p>
    <w:p>
      <w:r>
        <w:t>Im Übrigen stehen die geltend gemachten Kosten in keinem vernünftigen Verhältnis zur Verfahrensgeschichte, berücksichtigt man die Tatsache, dass die Parteien sich innert kürzester Zeit einigen konnten. Diese Einigung – so räumt es auch die Beschwerdeführerin ein – hätte auch vor Anrufung des Bundesstrafgerichts erzielt werden können. Dazu war jedoch nicht, wie die Beschwerdeführerin dies vorbringt, die Beschwerde an das hiesige Gericht nötig, sondern lediglich eine Aussprache der Parteien.</w:t>
      </w:r>
    </w:p>
    <w:p>
      <w:r>
        <w:t>- 6 -</w:t>
      </w:r>
    </w:p>
    <w:p>
      <w:r>
        <w:rPr>
          <w:b/>
        </w:rPr>
        <w:t>E. 2.3.5</w:t>
      </w:r>
    </w:p>
    <w:p>
      <w:r>
        <w:t>Der Antrag der Beschwerdeführerin um (zumindest teilweise) Übernahme der Kosten der Rechtsvertretung ist abzuweisen. In Bezug auf die Verfah- renskosten wird berücksichtigt, dass die Beschwerde zurückgezogen wurde, bevor ein Schriftenwechsel eingeleitet wurde. Ansonsten hat die Beschwer- deführerin, wie in E. 2.2 festgehalten, für die Kosten als unterliegende Partei nach Art. 428 Abs. 1 StPO aufzukommen.</w:t>
      </w:r>
    </w:p>
    <w:p>
      <w:r>
        <w:rPr>
          <w:b/>
        </w:rPr>
        <w:t>E. 3</w:t>
      </w:r>
    </w:p>
    <w:p>
      <w:r>
        <w:t>Die Verfahrenskosten unter Berücksichtigung der Kosten der Verfügung über die aufschiebende Wirkung sind vorliegend auf Fr. 1‘000.-- festzusetzen (Art. 73 StBOG und Art. 5 und 8 Abs. 1 des Reglements des Bundesstrafge- richts vom 31. August 2010 über die Kosten, Gebühren und Entschädigun- gen in Bundesstrafverfahren [BStKR; SR 173.713.162]). Unter Anrechnung des von der Beschwerdeführerin geleisteten Kostenvorschusses in Höhe von Fr. 2‘000.-- wird die Bundesstrafgerichtskasse angewiesen, der Be- schwerdeführerin Fr. 1‘000.-- zurückzuerstatten.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