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BB.2017.123 vom 12. September 2017</w:t>
      </w:r>
    </w:p>
    <w:p>
      <w:r>
        <w:t>Bundesstrafgericht, 2017-09-12, DE</w:t>
      </w:r>
    </w:p>
    <w:p>
      <w:r>
        <w:rPr>
          <w:b/>
        </w:rPr>
        <w:t xml:space="preserve">Quelle: </w:t>
      </w:r>
      <w:r>
        <w:t>https://mcp.opencaselaw.ch/entscheid/bstger_BB.2017.123</w:t>
      </w:r>
    </w:p>
    <w:p>
      <w:r>
        <w:t>FR: TPF BB.2017.123 du 12 septembre 2017</w:t>
      </w:r>
    </w:p>
    <w:p>
      <w:r>
        <w:t>IT: TPF BB.2017.123 del 12 settembre 2017</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Mit ihr kön- nen Rechtsverletzungen gerügt werden, einschliesslich Überschreitung und Missbrauch des Ermessens, Rechtsverweigerung und Rechtsverzögerung (Art. 393 Abs. 2 lit. a StPO), sowie die unvollständige oder unrichtige Fest- stellung des Sachverhalts (Art. 393 Abs. 2 lit. b StPO) und die Unangemes- senheit (Art. 393 Abs. 2 lit. c StPO).</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gemäss dem Wortlaut des Geset- zes grundsätzlich nur insoweit zur Beschwerde legitimiert, als sie sich im Sinne der Art. 118 f. StPO als Privatklägerschaft konstituiert hat. Als Aus- fluss des Anspruchs auf rechtliches Gehör ist jedoch auch die geschädigte Person zur Beschwerde legitimiert, welche – was gerade bei der Nichtan- handnahmeverfügung der Fall sein kann – noch keine Gelegenheit hatte, sich als Privatklägerschaft zu konstituieren (Botschaft vom 21. Dezember 2005 zur Vereinheitlichung des Strafprozessrechts, BBl 2006 S. 1308, Fn 427; GRÄDEL/HEINIGER, Basler Kommentar Schweizerische Strafprozess- ordnung, 2. Aufl., Basel 2014, Art. 322 StPO N. 6; LANDSHUT, Kommentar zur Schweizerischen Strafprozessordnung [StPO], 2. Aufl., Zürich/Ba- sel/Genf 2014, Art. 322 StPO N. 9).</w:t>
      </w:r>
    </w:p>
    <w:p>
      <w:r>
        <w:t>Nach Art. 115 Abs. 1 StPO gilt als geschädigt, wer durch die Straftat in sei- nen Rechten unmittelbar verletzt worden ist. Als geschädigte Person ist nach konstanter Rechtsprechung anzusehen, wer Träger des Rechtsguts ist, das durch die fragliche Strafbestimmung vor Verletzung oder Gefährdung ge- schützt werden soll. Bei den Rechten im Sinne dieser Bestimmung handelt es sich primär um individuelle Rechtsgüter wie Leib und Leben, Vermögen, Ehre etc. (vgl. hierzu die Botschaft vom 21. Dezember 2005 zur Vereinheit- lichung des Strafprozessrechts, BBl 2006 1169 f.). Aus der dogmatischen Einordnung der Gefährdungsdelikte wird in Bezug auf die Geschädigtenstel- lung sodann gefolgert, dass es bei bloss abstrakten Gefährdungsdelikten keine Geschädigten im Sinne von Art. 115 Abs. 1 StPO gibt, es sei denn,</w:t>
      </w:r>
    </w:p>
    <w:p>
      <w:r>
        <w:t>jemand werde als Folge der Begehung eines solchen Deliktes doch konkret gefährdet (BGE 138 IV 258 E. 3.1.2). Im Zusammenhang mit Strafnormen, die nicht primär Individualrechtsgüter schützen, gelten praxisgemäss nur die- jenigen Personen als geschädigt, die durch die darin umschriebenen Tatbe- stände in ihren Rechten beeinträchtigt werden, sofern diese Beeinträchti- gung unmittelbare Folge der tatbestandsmässigen Handlung ist. Werden durch Delikte, die (nur) öffentliche Interessen verletzen, private Interessen auch, aber bloss mittelbar beeinträchtigt, so ist die betroffene Person nicht geschädigt im Sinne von Art. 115 Abs. 1 StPO (vgl. hierzu ausführlich und mit zahlreichen Hinweisen auf Rechtsprechung und Literatur BGE 138 IV 258 E. 2.2 und 2.3).</w:t>
      </w:r>
    </w:p>
    <w:p>
      <w:r>
        <w:rPr>
          <w:b/>
        </w:rPr>
        <w:t>E. 1.3</w:t>
      </w:r>
    </w:p>
    <w:p>
      <w:r>
        <w:t>Der Anzeigeerstatter ist nicht zur Beschwerde gemäss Art. 393 ff. StPO le- gitimiert, auch nicht in Bezug auf Nichtanhandnahme- oder Einstellungsver- fügungen, sofern er nicht gleichzeitig geschädigt oder Privatkläger ist (s. GUIDON, Die Beschwerde gemäss Schweizerischer Strafprozessordnung, Berner Diss., Zürich/St. Gallen 2011, S. 121 N. 294). Nach GUIDON darf ei- nem Anzeigeerstatter, dem zwar die Legitimation zur Straf- oder Zivilklage fehlt, aber vorbehaltlos als Privatkläger zugelassen und auch als solcher be- handelt worden ist, diese Rolle nachträglich nicht mehr abgesprochen wer- den, auch wenn sie ihm bei sachgerechter Beurteilung nicht hätte zuerkannt werden dürfen (GUIDON, a.a.O., S. 122 N. 296). Nach der eidgenössischen StPO setzt die Parteirolle als Privatkläger die materiellrechtlich begründete Stellung als Geschädigter voraus. Steht fest, dass ein Anzeigeerstatter diese Voraussetzungen nicht erfüllt, lässt sich die Geschädigtenstellung auch nicht ersatzweise aufgrund seines Vertrauen in die ihm bisher eingeräumte Stel- lung begründen (s. dazu Beschluss der Beschwerdekammer BB.2013.72 vom 13. September 2013, E. 1.4). Daraus folgt, dass entgegen der Argu- mentation der Beschwerdeführerin (act. 1 S. 4) deren "Anerkennung" als Pri- vatklägerin durch die Beschwerdegegnerin nicht automatisch die Legitima- tion zur Beschwerde nach sich zieht, sondern im Einzelfall zu prüfen ist, ob sie als geschädigte Personen im Sinne von Art. 115 Abs. 1 StPO gilt.</w:t>
      </w:r>
    </w:p>
    <w:p>
      <w:r>
        <w:rPr>
          <w:b/>
        </w:rPr>
        <w:t>E. 1.4</w:t>
      </w:r>
    </w:p>
    <w:p>
      <w:r>
        <w:t>Die Beschwerdegegnerin äussert sich nicht zur Beschwerdelegitimation und beantragt ausschliesslich die Abweisung der Beschwerde (act. 7). Die Be- schwerdeführerin bringt vor, sie habe an der Aufhebung der Nichtanhand- nahmeverfügung und an der Verfolgung des angezeigten Delikts ein erheb- liches Interesse. D. habe als Primärinsider und in krasser Verletzung seiner Treuepflicht gehandelt. Wenn auch das Verbot des Insiderhandels primär auf die Funktionsfähigkeit des Schweizer Marktes und die Chancengleichheit der Anleger abziele und nur als Nebenzweck bzw. nachrangig das Rechtsgut der Treuepflicht zum betroffenen Unternehmen schütze, so die Beschwerde-</w:t>
      </w:r>
    </w:p>
    <w:p>
      <w:r>
        <w:t>führerin weiter, sei sie als Teil der C.-Gruppe vorliegend mit einer derart kras- sen Verletzung der Treuepflicht eines früheren Organs der C.-Gruppe kon- frontiert, dass sie im Sinne von Art. 115 Abs. 1 StPO direkt betroffen und damit zur Beschwerde zugelassen sei (act. 1 S. 3 f.).</w:t>
      </w:r>
    </w:p>
    <w:p>
      <w:r>
        <w:rPr>
          <w:b/>
        </w:rPr>
        <w:t>E. 1.5</w:t>
      </w:r>
    </w:p>
    <w:p>
      <w:r>
        <w:t>Der Insidertatbestand von Art. 154 FinfraG bzw. Art. 40 aBEHG bezieht sich auf das Ausnützen von vertraulichen Informationen, deren Bekanntgabe mutmasslich eine wesentliche Auswirkung auf den Kurs von Effekten hat. Er dient der Chancengleichheit der Anleger und der Funktionsfähigkeit des Ka- pitalmarktes. Das Schutzgut der Treuepflicht des Insiders gegenüber dem Unternehmen ist hingegen mit der Revision des Insiderstraftatbestandes im Jahr 2013 entfallen (s. zum Ganzen SEHTE/FAHRLÄNDER, Kommentar zum Finanzmarktinfrastrukturgesetz FinfragG, Sethe/Favre/Hess/Kramer/Schott [Hrsg.], Zürich/Basel/Genf 2017, Art. 154 N. 1 mit zahlreichen Hinweisen auf die Literatur). Dem Insidertatbestand kommt kein individualschützender Cha- rakter zu; die Vermögensinteressen der einzelnen Anleger werden durch den Insiderstraftatbestand bloss reflexartig geschützt (so zu Art. 40 aBEHG FAHRLÄNDER, Der revidierte schweizerische Insiderstraftatbestand, Diss., Zürich 2015, N. 103). Demnach fehlt es bei diesem Tatbestand an einer ge- schädigten Person (MAZZUCCHELLI/POSTIZZI, Basler Kommentar Schweize- rische Strafprozessordnung, 2. Aufl., Basel 2014, Art. 115 StPO N. 64). Nach dem Gesagten könnte die Beschwerdeführerin somit auch in einem entsprechenden eröffneten Strafverfahren nicht als Geschädigte auftreten und daher keine Parteistellung erlangen. Damit fehlt ihr ein rechtlich ge- schütztes Interesse an der Aufhebung der Nichtanhandnahmeverfügung. Auf ihre Beschwerde ist folglich mangels Legitimation nicht einzutreten.</w:t>
      </w:r>
    </w:p>
    <w:p>
      <w:r>
        <w:rPr>
          <w:b/>
        </w:rPr>
        <w:t>E. 2</w:t>
      </w:r>
    </w:p>
    <w:p>
      <w:r>
        <w:t>Bei diesem Ausgang des Verfahrens hat die Beschwerdeführerin die Ge- richtskosten zu tragen (Art. 428 Abs. 1 StPO). Die Gerichtsgebühr ist in An- wendung des Reglements des Bundesstrafgerichts vom 31. August 2010 über die Kosten, Gebühren und Entschädigungen in Bundesstrafverfahren (BStKR; SR 173.713.162) Fr. 2‘000.-- festzusetzen, unter Anrechnung des geleisteten Kostenvorschusses gleicher Höhe (Art. 418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