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BB.2017.121 vom 18. Juli 2018</w:t>
      </w:r>
    </w:p>
    <w:p>
      <w:r>
        <w:t>Bundesstrafgericht, 2018-07-18, FR</w:t>
      </w:r>
    </w:p>
    <w:p>
      <w:r>
        <w:rPr>
          <w:b/>
        </w:rPr>
        <w:t xml:space="preserve">Quelle: </w:t>
      </w:r>
      <w:r>
        <w:t>https://mcp.opencaselaw.ch/entscheid/bstger_BB.2017.121</w:t>
      </w:r>
    </w:p>
    <w:p>
      <w:r>
        <w:t>FR: TPF BB.2017.121 du 18 juillet 2018</w:t>
      </w:r>
    </w:p>
    <w:p>
      <w:r>
        <w:t>IT: TPF BB.2017.121 del 18 luglio 2018</w:t>
      </w:r>
    </w:p>
    <w:p>
      <w:pPr>
        <w:pStyle w:val="Heading2"/>
      </w:pPr>
      <w:r>
        <w:t>Regeste</w:t>
      </w:r>
    </w:p>
    <w:p>
      <w:r>
        <w:t>Consultation des dossiers (art. 101 s. en lien avec l'art. 107 al. 1 let. a CPP). Obligation de garder le secret (art. 73 al. 2 CPP).</w:t>
      </w:r>
    </w:p>
    <w:p>
      <w:pPr>
        <w:pStyle w:val="Heading2"/>
      </w:pPr>
      <w:r>
        <w:t>Erwägungen</w:t>
      </w:r>
    </w:p>
    <w:p>
      <w:r>
        <w:rPr>
          <w:b/>
        </w:rPr>
        <w:t>E. 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(ci-après: Commentaire bâlois), n° 15 ad art. 393; KELLER, Donatsch/Hansjakob/Lieber [édit.], Kommentar zur Schweizerischen Strafprozessordnung [StPO], 2e éd. 2014 [ci-après: Kommentar StPO], n° 39 ad art. 393; SCHMID/JOSITSCH, Handbuch des schweizerischen Strafprozessrechts, 3e éd. 2017 , n° 1512).</w:t>
      </w:r>
    </w:p>
    <w:p>
      <w:r>
        <w:rPr>
          <w:b/>
        </w:rPr>
        <w:t>E. 1.1</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1.2</w:t>
      </w:r>
    </w:p>
    <w:p>
      <w:r>
        <w:t>Le MPC met en doute le respect du délai de recours puisque la décision attaquée aurait été rendue le 21 juin 2017 et le recours interjeté le 14 juillet 2017 (act. 8.0, p. 3). L’avis du MPC ne saurait être suivi. Le 22 juin 2017, A.a requis le MPC qu’il motive son refus d’octroyer un accès complet au dossier et l’obligation de garder le secret ainsi que de limiter celle-là dans le temps (act. 1.5). Aux termes de l'art. 80 CPP, les prononcés qui tranchent des questions civiles ou pénales sur le fond revêtent la forme de jugements Les</w:t>
      </w:r>
    </w:p>
    <w:p>
      <w:r>
        <w:t>- 5 -</w:t>
      </w:r>
    </w:p>
    <w:p>
      <w:r>
        <w:t>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 verbal et sont notifiés aux parties (al. 2). Les décisions et ordonnances simples d'instruction ne doivent pas nécessairement être rédigées séparément ni être motivées; elles sont consignées au procès-verbal et notifiées aux parties de manière appropriée (al. 3). Ainsi, en donnant suite à la requête de A. et en complétant sa lettre recommandée du 21 juin 2017 par un écrit du 29 juin 2017, il y a lieu d’en déduire, notamment sous l’angle de la bonne foi, que le MPC considérait que sa première prise de position était insuffisamment motivée pour remplir les conditions de l’art. 80 CPP. Par conséquent, il y a lieu de retenir que c’est le prononcé du 29 juin 2017 qui faisait partir le délai de recours et non celui du 21 juin 2017.</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Les deux sociétés recourantes, parties plaignantes, qui se sont vues vue restreindre l’accès au dossier de la procédure SV.15.0084 et interdire de copier ou de diffuser, sauf autorisation expresse du magistrat en charge de la procédure, des éléments de ce dossier, ont ainsi la qualité pour recourir.</w:t>
      </w:r>
    </w:p>
    <w:p>
      <w:r>
        <w:rPr>
          <w:b/>
        </w:rPr>
        <w:t>E. 1.4</w:t>
      </w:r>
    </w:p>
    <w:p>
      <w:r>
        <w:t>Vu l’expiration de la durée de l’obligation de garder le secret ordonnée par le MPC et l’absence de prolongation de cette mesure confirmée par celui-ci le 29 juin 2018 (act. 19), la présente cause est devenue sans objet. Il n’existe aucun intérêt public important qui commanderait de trancher, nonobstant le défaut d’intérêt actuel, le grief de A. et rien n’indique que celui-ci soit une question de principe susceptible de se poser à nouveau sans que la Cour de céans, saisi d’un recours, puisse statuer en temps utile (ATF 139 I 206 consid. 1.1; 137 I 23 consid. 1.2.1; TPF 2010 165 consid. 2.3.1; SCHMID/JOSITSCH, op. cit., n° 1458, note 51). Au surplus, la renonciation à la condition de l’intérêt actuel est exceptionnelle (ibid.). Par conséquent, la procédure BB.2017.121-122 doit être rayée du rôle.</w:t>
      </w:r>
    </w:p>
    <w:p>
      <w:r>
        <w:rPr>
          <w:b/>
        </w:rPr>
        <w:t>E. 2</w:t>
      </w:r>
    </w:p>
    <w:p>
      <w:r>
        <w:t>À teneur de l’art. 428 al. 1 CPP, les frais de la procédure de recours sont mis à la charge des parties dans la mesure où elles ont obtenu gain de cause ou succombé (1re phrase). Toutefois, le législateur n’a pas envisagé expressément la situation dans laquelle une procédure de recours devient sans objet en raison de l’écoulement du temps. Il sied dès lors d’examiner,</w:t>
      </w:r>
    </w:p>
    <w:p>
      <w:r>
        <w:t>- 6 -</w:t>
      </w:r>
    </w:p>
    <w:p>
      <w:r>
        <w:t>de manière sommaire, qu’elle aurait été l’issue du litige si celui-ci avait été jugé avant le fait qui y a mis fin (décision du Tribunal pénal fédéral BB.2017.220-223 du 10 juillet 2018).</w:t>
      </w:r>
    </w:p>
    <w:p>
      <w:r>
        <w:rPr>
          <w:b/>
        </w:rPr>
        <w:t>E. 3</w:t>
      </w:r>
    </w:p>
    <w:p>
      <w:r>
        <w:t>Par un grief d’ordre formel, qu’il sied de traiter en premier lieu, les recourantes se plaignent d'abord de la violation de leur droit d'être entendues et ce sous l'angle du droit à une décision motivée. Elle font valoir à cet égard que l'autorité « […] a fourni pour seules explications fondant [l’obligation de garder le secret au sens de l’article 73 al. 2 CPP] les éléments suivant: "les pièces qui vous ont été transmises le 21 juin dernier peuvent concerner des tiers non impliqués dans la présente procédure. Il convient de préserver, en l’état, les intérêts privés de ceux-ci en limitant l’utilisation de ces éléments" » (act. 1, p. 7). Elles sont dès lors d’avis que cette motivation ne saurait être considérée comme suffisante pour leur permettre de comprendre les raisons d’un tel prononcé.</w:t>
      </w:r>
    </w:p>
    <w:p>
      <w:r>
        <w:rPr>
          <w:b/>
        </w:rPr>
        <w:t>E. 3.1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w:t>
      </w:r>
    </w:p>
    <w:p>
      <w:r>
        <w:t>C’est à raison que les recourantes affirment qu’une telle motivation ne permet pas de justifier la mesure qui leur est imposée. Comme elles le relèvent, la motivation du MPC consiste en de simples généralités ne répondant aucunement – dans le cas concret – à la question de savoir si le « but de la procédure », respectivement un « intérêt privé » exigerait véritablement d'imposer une interdiction de communiquer à A. Or il est</w:t>
      </w:r>
    </w:p>
    <w:p>
      <w:r>
        <w:t>- 7 -</w:t>
      </w:r>
    </w:p>
    <w:p>
      <w:r>
        <w:t>constant qu'un seul risque abstrait – tel qu'en définitive allégué en l'espèce – que les pièces transmises sont susceptibles « […] de concerner des tiers non impliqués dans la présente procédure » et qu’« [i]l convient de préserver, en l’état, les intérêts privés de ceux-ci […] » ne suffit pas (décision du Tribunal pénal fédéral BB.2015.96 du 25 février 2016 consid. 3.2 et référence citée). Il sied dès lors d’admettre que la motivation contenue dans la décision attaquée constitue une violation du droit d’être entendues des recourantes.</w:t>
      </w:r>
    </w:p>
    <w:p>
      <w:r>
        <w:rPr>
          <w:b/>
        </w:rPr>
        <w:t>E. 3.3</w:t>
      </w:r>
    </w:p>
    <w:p>
      <w:r>
        <w:t>Dans sa réponse au recours, l’autorité intimée motive les mesures qu’elle a prises comme suit: « [a]fin de préserver les droits des recourantes, le MPC a octroyé un accès le plus large possible à celles-ci en leur transmettant les pièces dont elles n’avaient pas encore pris connaissance. Le MPC a donc préservé les droits des parties plaignantes en garantissant un droit à l’information le plus étendu possible. Cependant, une limite a dû être imposée dans l’utilisation de ces pièces, afin en particulier que les intérêts privés de tiers à la procédure dont l’identité figure dans les pièces transmises, soient préservés. En l’espère, la limitation porte uniquement sur les documents transmis par la banque E. (07-01-1214 à 1222 et les annexes), soit notamment de nombreux courriels, contenant en particulier des détails sur le fonctionnement interne de la banque concernée. La protection des intérêts privés constitue une motivation suffisante pour enjoindre les parties à garder le secret quant aux documents qui leur ont été transmis. Lesdits documents contiennent également l’identité de plusieurs personnes qui pourraient être entendues par le MPC ultérieurement selon le résultat de la procédure connexe en cours. Par conséquent, en sus des intérêts de tiers, le but de la procédure exige également le maintien de la restriction imposée, ceci afin d’éviter tout risque de collusion ». En l’occurrence, il sied de considérer que l’exposé du MPC quant à l’obligation de garder le secret contenu dans sa réponse satisfait aux exigences précitées. De surcroît, A. a pu s’exprimer à ce propos (act. 12). Le vice de procédure a dès lors pu être réparé en instance de recours, la Cour de céans disposant d’un plein pouvoir de cognition en fait et en droit en vertu de l’art. 393 al. 2 CPP. Il sera toutefois tenu compte du fait que le grief tiré de la violation du droit d'être entendu n'était pas infondé lors du calcul de l'émolument judiciaire (v. infra consid. 5 et GUIDON, Die Beschwerde gemäss Schweizerischer Strafprozessordnung, 2011, n° 571, p. 279; TPF 2008 172 consid. 7.2 p. 180 et les références citées mutatis mutandis).</w:t>
      </w:r>
    </w:p>
    <w:p>
      <w:r>
        <w:rPr>
          <w:b/>
        </w:rPr>
        <w:t>E. 4</w:t>
      </w:r>
    </w:p>
    <w:p>
      <w:r>
        <w:t>En procédure pénale, l’accès au dossier – en principe total (BENDANI, Commentaire romand, n° 11 ad art. 107) – est garanti aux parties de manière générale par l’art. 107 al. 1 let. a CPP. L’art. 101 al. 1 CPP précise que les</w:t>
      </w:r>
    </w:p>
    <w:p>
      <w:r>
        <w:t>- 8 -</w:t>
      </w:r>
    </w:p>
    <w:p>
      <w:r>
        <w:t>parties peuvent consulter le dossier d’une procédure pénale pendante, au plus tard après la première audition du prévenu et l’administration des preuves principales par le ministère public, l’art. 108 CPP étant réservé. Les parties sont en droit de consulter toutes les pièces du dossier (MOREILLON/PAREIN-REYMOND, Petit commentaire, Code de procédure pénale, 2e éd. 2016, n° 3 ad art. 101). Néanmoins, le droit de la partie plaignante à la consultation du dossier se limite aux aspects qui sont en lien avec l'acte dommageable qui la concerne (SCHMUTZ, Commentaire bâlois, n° 8 ad art. 101 CPP). Le même principe doit s'appliquer lorsque l'accès au dossier est accordé aux autres participants à la procédure sur la base de l'art. 105 al. 2 CPP. Les restrictions que le ministère public peut ordonner, d'office ou sur requête d'une des parties (art. 109 CPP), sont soumises à des conditions particulières et limitées dans le temps (art. 108 CPP; LIEBER, Kommentar StPO, n° 12 ad art. 108 CPP), toutes les parties devant avoir en principe le droit de consulter le dossier au plus tard lors de la phase de clôture de l'instruction (art. 318 CPP; CORNU, Commentaire romand, n° 11 ad art. 318 CPP). Ledit accès peut ainsi être restreint aux conditions fixées par l'art. 108 CPP, soit notamment lorsque cela est nécessaire pour assurer la sécurité de personnes ou pour protéger des intérêts publics ou privés au maintien du secret. Peuvent être considérés comme des intérêts privés les secrets bancaire, de fabrication, d'affaire ou militaire (VEST/HORBER, Commentaire bâlois, n° 6 ad art. 108 CPP) ou encore la protection de la sphère privée ou intime (BENDANI, op. cit., n° 6 ad art. 108 CPP). Sur la base de l'art. 108 al. 1 let. a et b CPP, le Tribunal fédéral a jugé que le respect des règles sur l'entraide constitue également un motif de restriction de l'accès au dossier. Il y a en effet lieu d'éviter que les informations auxquelles une partie peut avoir accès ne soient transmises à un Etat ayant requis l'entraide judiciaire (1B_364/2013, consid. 2.1). Les restrictions du droit d'être entendu doivent être appliquées avec retenue et dans le respect du principe de la proportionnalité. Elles doivent être absolument nécessaires (ibid., n° 11 ad art. 107 CPP). Il s'impose en tout état de cause de procéder à une pesée des intérêts entre l'accès au dossier et les intérêts publics ou privés en jeu (SCHMUTZ, op. cit., n° 19 ad art. 101 CPP). Aux côtés de l'art. 108 CPP, qui énumère les motifs généraux permettant de restreindre le droit d'être entendu, il existe d'autres dispositions particulières, qui priment cette norme générale. Tel est le cas de l'art. 73 al. 2 CPP (BENDANI, op. cit., n° 8 ad art. 108). Cette disposition autorise la direction de la procédure à imposer le maintien du secret aux participants à la procédure pendant une période limitée lorsque le but de la procédure ou un intérêt privé l'exige. Ainsi, l'obligation de garder le secret aux fins de la procédure peut notamment résulter de la nécessité d'exclure tout risque de collusion (SAXER/THURNHEER, Commentaire bâlois, nos 4 et 14 ad art. 73).</w:t>
      </w:r>
    </w:p>
    <w:p>
      <w:r>
        <w:t>- 9 -</w:t>
      </w:r>
    </w:p>
    <w:p>
      <w:r>
        <w:rPr>
          <w:b/>
        </w:rPr>
        <w:t>E. 4.1</w:t>
      </w:r>
    </w:p>
    <w:p>
      <w:r>
        <w:t>Les recourantes considèrent que l’interdiction de communiquer imposée par le MPC n’est pas justifiée. Elles font valoir que, s’agissant des nombreux courriels mentionnés par le MPC dans sa motivation, il semble que seules trois des 515 pièces seraient concernées par le fonctionnement interne de la banque en question. Elles relèvent que les autres pièces portent essentiellement sur la correspondance entre la banque et le MPC, la communication MROS, des instructions de virements ainsi que la documentation sous-jacente relative auxdites instructions. Quant aux personnes dont l’identité ressort des documents transmis et qui pourraient être entendues par le MPC, il apparaît qu’un cercle restreint de personnes pourrait potentiellement être visé (act. 12, p. 2). Elles estiment que ces motifs ne sauraient justifier l’interdiction de communiquer les documents transmis par la banque E., d’autant que le MPC auraient pu, selon elles, prendre des mesures moins incisives. A. allègue que l’interdiction de communiquer aurait pu se limiter aux documents contenant des détails sur le fonctionnement interne de la banque et à ceux qui font apparaître l’identité de personnes que le MPC pourrait entendre dans le cadre des différentes procédures. Les recourantes estiment en outre que le MPC aurait pu dresser une liste de personnes qui pourraient être entendues tout en indiquant que les noms de celle-ci devaient être caviardés en cas de communication.</w:t>
      </w:r>
    </w:p>
    <w:p>
      <w:r>
        <w:rPr>
          <w:b/>
        </w:rPr>
        <w:t>E. 4.2</w:t>
      </w:r>
    </w:p>
    <w:p>
      <w:r>
        <w:t>En l’occurrence, l’enquête diligentée par le MPC ne paraît pas terminée en l’état. La procédure, initialement ouverte contre inconnus, présente une certaine complexité notamment au vu de son envergure internationale et de nombreux éléments à élucider. Le MPC fait valoir que les documents concernés contiennent entre autres l’identité de plusieurs personnes qui pourraient être entendues par le MPC ultérieurement selon le résultat de la procédure connexe en cours (act. 8.0, p. 3). Par la mesure prononcée, il souhaite dès lors éviter tout risque de collusion. Il ne faut en effet pas perdre de vue qu’une restriction d’accès au dossier est admissible pour éviter de mettre en péril la recherche de la vérité matérielle ou d’exposer les éléments de preuve principaux avant terme, ou pour parer au risque de collusion (ATF 137 IV 172 consid. 2.3 et les références citées; arrêt du Tribunal fédéral 1B_597/2011 du 7 février 2012 consid 2.2; BRÜSCHWEILER, in Kommentar StPO, n° 6 ad art. 101).</w:t>
      </w:r>
    </w:p>
    <w:p>
      <w:r>
        <w:rPr>
          <w:b/>
        </w:rPr>
        <w:t>E. 4.3</w:t>
      </w:r>
    </w:p>
    <w:p>
      <w:r>
        <w:t>L’obligation de garder le secret prononcée par le MPC ne porte par le flanc à la critique. Sa durée, de six mois, et qui n’a en l’espèce pas été prolongée, respecte le principe de la proportionnalité au regard de l’ampleur et de la complexité de l’enquête menée. De surcroît, si certes un caviardage des éléments à tenir secret aurait été moins incisif, il sied de constater que, comme l’a relevé le MPC dans sa réponse, celui-ci n’as pas interdit de manière générale toute diffusion des pièces mais l’a subordonnée à</w:t>
      </w:r>
    </w:p>
    <w:p>
      <w:r>
        <w:t>- 10 -</w:t>
      </w:r>
    </w:p>
    <w:p>
      <w:r>
        <w:t>l’autorisation expresse de la direction de la procédure (« […] les éléments du dossier sous quelque forme que ce soit, notamment informatique, ne peuvent faire l’objet de copie et de diffusion, sauf autorisation expresse du magistrat en charge de la procédure »; act. 1.4, p. 2). Il appert dès lors que la mesure litigeuse respecte le principe de la proportionnalité.</w:t>
      </w:r>
    </w:p>
    <w:p>
      <w:r>
        <w:rPr>
          <w:b/>
        </w:rPr>
        <w:t>E. 4.4</w:t>
      </w:r>
    </w:p>
    <w:p>
      <w:r>
        <w:t>Au vu de ce qui précède, le recours aurait été rejeté s’il n’était pas devenu sans objet en raison de l’écoulement du temps.</w:t>
      </w:r>
    </w:p>
    <w:p>
      <w:r>
        <w:rPr>
          <w:b/>
        </w:rPr>
        <w:t>E. 5</w:t>
      </w:r>
    </w:p>
    <w:p>
      <w:r>
        <w:t>Dès lors que les recourantes auraient succombé, il se justifie de mettre les frais de la présente procédure à leur charge (art. 428 al. 1 CPP). Tenant compte de la violation du droit d'être entendu guérie dans la présente procédure (supra consid. 3.3), des frais réduits, fixés à CHF 1'200.-- sont mis à la charge solidaire des recourantes.</w:t>
      </w:r>
    </w:p>
    <w:p>
      <w:r>
        <w:rPr>
          <w:b/>
        </w:rPr>
        <w:t>E. 6</w:t>
      </w:r>
    </w:p>
    <w:p>
      <w:r>
        <w:t>La partie qui obtient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Comme B. et C. n'ont pas chiffré leurs prétentions, il leur est accordé une indemnité de CHF 1'000.-- (TVA comprise) à chacun, solidairement à la charge des recourantes qui succombent.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