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BB.2017.110 vom 5. Juli 2017</w:t>
      </w:r>
    </w:p>
    <w:p>
      <w:r>
        <w:t>Bundesstrafgericht, 2017-07-05, DE</w:t>
      </w:r>
    </w:p>
    <w:p>
      <w:r>
        <w:rPr>
          <w:b/>
        </w:rPr>
        <w:t xml:space="preserve">Quelle: </w:t>
      </w:r>
      <w:r>
        <w:t>https://mcp.opencaselaw.ch/entscheid/bstger_BB.2017.110</w:t>
      </w:r>
    </w:p>
    <w:p>
      <w:r>
        <w:t>FR: TPF BB.2017.110 du 5 juillet 2017</w:t>
      </w:r>
    </w:p>
    <w:p>
      <w:r>
        <w:t>IT: TPF BB.2017.110 del 5 luglio 2017</w:t>
      </w:r>
    </w:p>
    <w:p>
      <w:pPr>
        <w:pStyle w:val="Heading2"/>
      </w:pPr>
      <w:r>
        <w:t>Regeste</w:t>
      </w:r>
    </w:p>
    <w:p>
      <w:r>
        <w:t>Ermächtigungsverfahren / Ausstandsverfahren (Art. 7 Abs. 2 lit. b StPO). Unentgeltliche Rechtspflege für die Privatklägerschaft (Art. 136 Abs. 1 StPO).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März 2017 ohne Durchführung eines Schriftenwechsels (in Analogie zu Art. 390 Abs. 2 StPO e contrario) nicht einzutreten ist;</w:t>
      </w:r>
    </w:p>
    <w:p>
      <w:r>
        <w:t>- bei diesem Ausgang des Verfahrens offengelassen werden kann, ob die vor- liegende Beschwerde fristgerecht erhoben worden ist;</w:t>
      </w:r>
    </w:p>
    <w:p>
      <w:r>
        <w:t>- infolge offensichtlicher Aussichtslosigkeit der Beschwerde das Gesuch um unentgeltliche Rechtspflege und Bestellung eines unentgeltlichen Rechtsbei- standes ohne Weiteres abzuweisen ist (vgl. Art. 29 Abs. 3 Satz 1 BV; Art. 136 StPO);</w:t>
      </w:r>
    </w:p>
    <w:p>
      <w:r>
        <w:t>- die Kosten des vorliegenden Verfahrens daher vom Beschwerdeführer zu tragen (Art. 59 Abs. 4 und Art. 428 Abs. 1 StPO) und auf Fr. 200.-- festzu- setzen sind (Art. 73 StBOG und Art. 5 und 8 Abs. 2 BStKR).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