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BB.2016.97 vom 13. Juli 2016</w:t>
      </w:r>
    </w:p>
    <w:p>
      <w:r>
        <w:t>Bundesstrafgericht, 2016-07-13, FR</w:t>
      </w:r>
    </w:p>
    <w:p>
      <w:r>
        <w:rPr>
          <w:b/>
        </w:rPr>
        <w:t xml:space="preserve">Quelle: </w:t>
      </w:r>
      <w:r>
        <w:t>https://mcp.opencaselaw.ch/entscheid/bstger_BB.2016.97</w:t>
      </w:r>
    </w:p>
    <w:p>
      <w:r>
        <w:t>FR: TPF BB.2016.97 du 13 juillet 2016</w:t>
      </w:r>
    </w:p>
    <w:p>
      <w:r>
        <w:t>IT: TPF BB.2016.97 del 13 luglio 2016</w:t>
      </w:r>
    </w:p>
    <w:p>
      <w:pPr>
        <w:pStyle w:val="Heading2"/>
      </w:pPr>
      <w:r>
        <w:t>Regeste</w:t>
      </w:r>
    </w:p>
    <w:p>
      <w:r>
        <w:t>Séquestre (art. 263 ss CPP).</w:t>
      </w:r>
    </w:p>
    <w:p>
      <w:pPr>
        <w:pStyle w:val="Heading2"/>
      </w:pPr>
      <w:r>
        <w:t>Erwägungen</w:t>
      </w:r>
    </w:p>
    <w:p>
      <w:r>
        <w:rPr>
          <w:b/>
        </w:rPr>
        <w:t>E. 1</w:t>
      </w:r>
    </w:p>
    <w:p>
      <w:r>
        <w:t>Les recours ayant été formés dans la même procédure contre des décisions à teneur identique, leurs conclusions et allégués étant en tous points sem- blables, l'économie de procédure justifie de les joindre et les traiter dans une seule et même décision (art. 30 CPP).</w:t>
      </w:r>
    </w:p>
    <w:p>
      <w:r>
        <w:rPr>
          <w:b/>
        </w:rPr>
        <w:t>E. 2.1</w:t>
      </w:r>
    </w:p>
    <w:p>
      <w:r>
        <w:t>Les décisions du MPC peuvent faire l'objet d'un recours devant la Cour de</w:t>
      </w:r>
    </w:p>
    <w:p>
      <w:r>
        <w:t>céans (art. 393 al. 1 let. a CPP et 37 al. 1 LOAP en lien avec l'art. 19 al. 1 du règlement sur l'organisation du Tribunal pénal fédéral [ROTPF; RS 173.713.161]). Le recours contre les décisions notifiées par écrit ou orale- 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2.2</w:t>
      </w:r>
    </w:p>
    <w:p>
      <w:r>
        <w:t>Le recours est recevable à la condition que le recourant dispose d'un intérêt juridiquement protégé à l'annulation ou à la modification de la décision en- treprise (art. 382 al. 1 CPP). Le recourant doit avoir subi une lésion, soit un préjudice causé par l'acte qu'il attaque et doit avoir un intérêt à l'élimination de ce préjudice. En leur qualité de titulaires des comptes visés par le sé- questre querellé, les recourants disposent d'un intérêt juridiquement protégé à l'annulation de cette mesure de contrainte, respectivement à la levée de celle-ci (cf. décision du Tribunal pénal fédéral BB.2011.10-11 du 18 mai 2011, consid. 1.5 et les références citées).</w:t>
      </w:r>
    </w:p>
    <w:p>
      <w:r>
        <w:rPr>
          <w:b/>
        </w:rPr>
        <w:t>E. 2.3</w:t>
      </w:r>
    </w:p>
    <w:p>
      <w:r>
        <w:t>Les recourants affirment, sans être contredits par les pièces figurant au dos- sier, que la décision litigieuse leur a été notifiée le 29 avril 2016. Déposés le</w:t>
      </w:r>
    </w:p>
    <w:p>
      <w:r>
        <w:rPr>
          <w:b/>
        </w:rPr>
        <w:t>E. 2.4</w:t>
      </w:r>
    </w:p>
    <w:p>
      <w:r>
        <w:t>Il y a donc lieu d’entrer en matière.</w:t>
      </w:r>
    </w:p>
    <w:p>
      <w:r>
        <w:t>3. Le litige porte sur la levée du séquestre frappant les comptes bancaires dé- tenus par les recourants (infra, consid. 4), ainsi que sur l’interdiction MPC de procéder à une communication spontanée au Brésil en lien avec lesdites re- lations bancaires (infra, consid. 5).</w:t>
      </w:r>
    </w:p>
    <w:p>
      <w:r>
        <w:t>4.</w:t>
      </w:r>
    </w:p>
    <w:p>
      <w:r>
        <w:t>4.1 Les recourants soutiennent que les faits reprochés à A. – s’ils étaient avérés – se seraient déroulés exclusivement au Brésil. Aussi, le droit pénal suisse ne serait-il pas applicable à ceux-ci (cf. consid. 4.2). Le séquestre aurait donc été prononcé dans une procédure pénale dont l’existence même est con- traire au droit, si bien que cette mesure devrait être levée. Au surplus, le séquestre porterait sur un montant supérieur à celui susceptible d’avoir été détourné (cf. consid. 4.3).</w:t>
      </w:r>
    </w:p>
    <w:p>
      <w:r>
        <w:t>4.2 Les recourants affirment que l’enquête ouverte au Brésil contre A. porte ex- clusivement sur des montants que l’intéressé aurait détournés au détriment du fisc de ce pays. Dans ces conditions, seule l’application de l’art. 305bis al. 1 CP dans sa teneur applicable à partir du 1er janvier 2016, qui vise nou- vellement les valeurs patrimoniales provenant d’un délit fiscal qualifié, per- mettrait de poursuivre A.. Or, précisément, cette disposition n’aurait pas été en vigueur pendant la période sur laquelle porte la procédure brésilienne. Cette argumentation est mal fondée. En effet, il ressort des pièces figurant au dossier que A., soupçonné d’avoir mis en place au Brésil un système de fausses factures, y fait l’objet d’une procédure pénale pour appartenance à une organisation criminelle, blanchiment d’argent et faux dans les titres. Dès lors, les conditions posées à l’art. 305bis al. 3 CP, dans sa teneur applicable entre 2009 et 2013 (let. A), selon lequel le délinquant est aussi punissable lorsque l’infraction principale a été commise à l’étranger et lorsqu’elle est aussi punissable dans l’Etat où elle a été commise, sont réalisées. Le fait que l’infraction préalable a été commise à l’étranger n’empêche donc pas, en l’occurrence, la condamnation en Suisse de son auteur pour blanchiment d’argent.</w:t>
      </w:r>
    </w:p>
    <w:p>
      <w:r>
        <w:t>4.3</w:t>
      </w:r>
    </w:p>
    <w:p>
      <w:r>
        <w:t>4.3.1 Le séquestre pénal est une mesure conservatoire provisoire destinée à pré- server les objets ou valeurs que le juge du fond pourrait être amené à con- 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s.; arrêt du Tribunal fédéral 1B_390/2013 du 10 janvier 2014, consid. 2.1). Le sé- questre conservatoire peut être maintenu tant que subsiste la probabilité d'une confiscation, l'intégralité des fonds devant demeurer à disposition de la justice aussi longtemps qu'il existe un doute sur la part des fonds qui pour- rait provenir d'une activité criminelle (arrêts 1B_390/2013 précité, con- sid. 2.1, 1B_175/2012 du 5 septembre 2012, consid. 4.1 et 1P.405/1993 du</w:t>
      </w:r>
    </w:p>
    <w:p>
      <w:r>
        <w:rPr>
          <w:b/>
        </w:rPr>
        <w:t>E. 6</w:t>
      </w:r>
    </w:p>
    <w:p>
      <w:r>
        <w:t>mai suivant, les recours l'ont été en temps utile.</w:t>
      </w:r>
    </w:p>
    <w:p>
      <w:r>
        <w:rPr>
          <w:b/>
        </w:rPr>
        <w:t>E. 8</w:t>
      </w:r>
    </w:p>
    <w:p>
      <w:r>
        <w:t>Compte tenu de l’issue du litige, les recourants supportent solidairement les frais judiciaires, en application de l’art. 428 al. 1 CPP. Ceux-ci se limitent en l'espèce à un émolument fixé, sur la base des art. 5 et 8 al. 1 du règlement du Tribunal pénal fédéral du 31 août 2010 sur les frais, émoluments, dépens et indemnités de la procédure pénale fédérale (RFPPF; RS 173.713.162), à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