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BB.2016.85 vom 8. November 2016</w:t>
      </w:r>
    </w:p>
    <w:p>
      <w:r>
        <w:t>Bundesstrafgericht, 2016-11-08, DE</w:t>
      </w:r>
    </w:p>
    <w:p>
      <w:r>
        <w:rPr>
          <w:b/>
        </w:rPr>
        <w:t xml:space="preserve">Quelle: </w:t>
      </w:r>
      <w:r>
        <w:t>https://mcp.opencaselaw.ch/entscheid/bstger_BB.2016.85</w:t>
      </w:r>
    </w:p>
    <w:p>
      <w:r>
        <w:t>FR: TPF BB.2016.85 du 8 novembre 2016</w:t>
      </w:r>
    </w:p>
    <w:p>
      <w:r>
        <w:t>IT: TPF BB.2016.85 del 8 novembre 2016</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20 Abs. 1 lit. b StPO und Art. 37 Abs. 1 StBOG). Zur Beschwerde berechtigt ist jede Partei oder jeder andere Verfahrensbetei- ligte, welche oder welcher ein rechtlich geschütztes Interesse an der Aufhe- bung oder Änderung des angefochtenen Entscheides haben (Art. 382 Abs. 1 StPO; Botschaft vom 21. Dezember 2005 zur Vereinheitlichung des Straf- prozessrechts, BBl 2006 S. 1308). Die Beschwerde gegen schriftlich oder mündlich eröffnete Entscheide ist innert zehn Tagen schriftlich und begrün- det einzureichen (Art. 396 Abs. 1 StPO). Mit ihr gerügt werden können ge- mäss Art. 393 Abs. 2 StPO Rechtsverletzungen, einschliesslich Überschrei-</w:t>
      </w:r>
    </w:p>
    <w:p>
      <w:r>
        <w:t>- 5 -</w:t>
      </w:r>
    </w:p>
    <w:p>
      <w:r>
        <w:t>tung und Missbrauch des Ermessens, Rechtsverweigerung und Rechtsver- zögerung (lit. a), die unvollständige oder unrichtige Feststellung des Sach- verhalts (lit. b) sowie die Unangemessenheit (lit. c).</w:t>
      </w:r>
    </w:p>
    <w:p>
      <w:r>
        <w:rPr>
          <w:b/>
        </w:rPr>
        <w:t>E. 1.2</w:t>
      </w:r>
    </w:p>
    <w:p>
      <w:r>
        <w:t>Der Beschwerdeführer ist Beschuldigter und damit Partei in der vorliegenden Strafuntersuchung (Art. 104 Abs. 1 lit. a StPO). Er ist durch die ihm gegen- über ergangene Verweigerung der vollständigen Akteneinsicht ohne Weite- res beschwert und somit zur Beschwerdeführung berechtigt (vgl. u. a. den Beschluss des Bundesstrafgerichts BB.2015.11 vom 22. Oktober 2015, E. 1.1). Auf die im Übrigen frist- und formgerecht erhobene Beschwerde ist einzutreten.</w:t>
      </w:r>
    </w:p>
    <w:p>
      <w:r>
        <w:rPr>
          <w:b/>
        </w:rPr>
        <w:t>E. 2.1</w:t>
      </w:r>
    </w:p>
    <w:p>
      <w:r>
        <w:t>Im Rahmen seiner Beschwerde bringt der Beschwerdeführer vor, es fehle der angefochtenen Verfügung an einer genügenden Begründung (act. 1, Ziff. IV.C.1).</w:t>
      </w:r>
    </w:p>
    <w:p>
      <w:r>
        <w:rPr>
          <w:b/>
        </w:rPr>
        <w:t>E. 2.2</w:t>
      </w:r>
    </w:p>
    <w:p>
      <w:r>
        <w:t>Entscheide sind zu begründen (Art. 80 Abs. 2 StPO). Der Anspruch auf recht- liches Gehör (Art. 3 Abs. 2 lit. c StPO) verlangt diesbezüglich, dass die Be- hörde die wesentlichen Punkte nennt, die für ihren Entscheid relevant waren. Es müssen wenigstens kurz die Überlegungen genannt werden, von denen sich die Behörde hat leiten lassen und auf die sich ihr Entscheid stützt (vgl. hierzu BGE 141 IV 249 E. 1.3.1; 139 IV 179 E. 2.2).</w:t>
      </w:r>
    </w:p>
    <w:p>
      <w:r>
        <w:rPr>
          <w:b/>
        </w:rPr>
        <w:t>E. 2.3</w:t>
      </w:r>
    </w:p>
    <w:p>
      <w:r>
        <w:t>Die Rüge des Beschwerdeführers geht an der Sache vorbei. Die Beschwer- degegnerin hat eine weitergehende Akteneinsicht mit Verweis auf Art. 101 Abs. 1 StPO und die noch ausstehenden Einvernahmen (u. a. auch des Be- schwerdeführers) in Brasilien abgelehnt. Der Beschwerdeführer selbst be- zieht sich ausdrücklich auf diese Ausführungen, macht diesbezüglich jedoch sinngemäss geltend, diese Begründung trage der Komplexität des Dossiers und des diesem zu Grunde liegenden Sachverhalts zu wenig Rechnung. Ob die von der Beschwerdegegnerin angeführte Begründung inhaltlich zu über- zeugen vermag, ist jedoch keine Frage des Anspruchs auf rechtliches Gehör sondern der Rechtmässigkeit bzw. der Angemessenheit der verweigerten Akteneinsicht.</w:t>
      </w:r>
    </w:p>
    <w:p>
      <w:r>
        <w:rPr>
          <w:b/>
        </w:rPr>
        <w:t>E. 3.1</w:t>
      </w:r>
    </w:p>
    <w:p>
      <w:r>
        <w:t>Gemäss Art. 101 Abs. 1 StPO können die Parteien spätestens nach der ers- ten Einvernahme der beschuldigten Person und der Erhebung der übrigen</w:t>
      </w:r>
    </w:p>
    <w:p>
      <w:r>
        <w:t>- 6 -</w:t>
      </w:r>
    </w:p>
    <w:p>
      <w:r>
        <w:t>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w:t>
      </w:r>
    </w:p>
    <w:p>
      <w:r>
        <w:rPr>
          <w:b/>
        </w:rPr>
        <w:t>E. 3.2</w:t>
      </w:r>
    </w:p>
    <w:p>
      <w:r>
        <w:t>Der Beschwerdeführer ist Beschuldigter im Rahmen der der angefochtenen Verfügung zu Grunde liegenden Strafuntersuchung. Dessen erste Einver- nahme war zum Zeitpunkt, in welchem die angefochtene Verfügung erlassen wurde, noch nicht erfolgt. Von den übrigen eingangs erwähnten beschuldig- ten Personen konnte erst eine durch die Beschwerdegegnerin befragt wer- den (K. [act. 4.2]; vgl. zum Ganzen die Ausführungen der Beschwerdegeg- nerin in act. 4, Ziff. II.3). Weiter ist im vorliegenden Fall aufgrund der Darstel- lung der Beschwerdegegnerin von erheblicher Kollusionsgefahr auszugehen (act. 4, Ziff. III.5 ff. m.w.H.). Bei dieser Ausgangslage kommt den beschul- digten Personen gemäss der angeführten Praxis (E. 3.1) zum jetzigen Zeit- punkt grundsätzlich noch kein Anspruch auf Einsicht in die Akten des Straf- verfahrens zu. Die angefochtene Verfügung ist daher nicht zu beanstanden. Was der Beschwerdeführer im Rahmen seiner Eingaben vorbringt, vermag daran nichts zu ändern. So ist in der Tatsache, dass der Beschwerdeführer aufgrund seiner Inhaftierung in Brasilien daselbst auf dem Rechtshilfeweg einvernommen werden muss (vgl. act. 1, Ziff. IV.C.2, S. 6), kein besonderer Umstand zu erkennen, welcher einen Anspruch auf Akteneinsicht über das von Art. 101 Abs. 1 StPO vorgesehene Mass hinaus zu begründen vermag. Die Rüge, die dem Beschwerdeführer bisher ausgehändigten Akten würden diesen nicht betreffen (act. 1, Ziff. IV.C.2, S. 7), findet in den Akten keine Stütze. Im Ergänzungsersuchen vom 29. Februar 2016 (act. 1.4, S. 5 ff.) wird die mutmassliche Rolle des Beschwerdeführers im Rahmen des Gegenstan- des der Untersuchung in nachvollziehbarer Weise dargestellt. Ebenso äus- serte sich K. im Rahmen seiner Einvernahmen mehrfach zu seinem Verhält- nis zum Beschwerdeführer. Die entsprechenden Protokolle wurden dem Be- schwerdeführer ebenfalls bereits offengelegt. Der vom Beschwerdeführer schliesslich angerufene Art. 80b IRSG (siehe act. 1, Ziff. IV.C.2, S. 8) und die in dieser Bestimmung vorgesehenen Fälle der Einschränkungen der Ak- teneinsicht sind auf den vorliegenden Fall nicht anwendbar. Der Beschwer- deführer verlangt Akteneinsicht in einer u. a. gegen ihn geführten nationalen</w:t>
      </w:r>
    </w:p>
    <w:p>
      <w:r>
        <w:t>- 7 -</w:t>
      </w:r>
    </w:p>
    <w:p>
      <w:r>
        <w:t>Strafuntersuchung und nicht in einem auf Ersuchen eines anderen Staates hin geführten Rechtshilfeverfahren.</w:t>
      </w:r>
    </w:p>
    <w:p>
      <w:r>
        <w:rPr>
          <w:b/>
        </w:rPr>
        <w:t>E. 4</w:t>
      </w:r>
    </w:p>
    <w:p>
      <w:r>
        <w:t>Die Beschwerde erweist sich nach dem Gesagten in all ihren Punkten als unbegründet. Sie ist daher abzuweisen.</w:t>
      </w:r>
    </w:p>
    <w:p>
      <w:r>
        <w:rPr>
          <w:b/>
        </w:rPr>
        <w:t>E. 5</w:t>
      </w:r>
    </w:p>
    <w:p>
      <w:r>
        <w:t>Bei diesem Ausgang des Verfahrens hat der Beschwerdeführer die Gerichts- kosten zu tragen (Art. 428 Abs. 1 StPO). Die Gerichtsgebühr ist unter der Berücksichtigung der Kosten für die Verfügung betreffend aufschiebende Wirkung (act. 2) auf Fr. 2'500.– festzusetzen (Art. 73 StBOG i.V.m. Art. 5 und</w:t>
      </w:r>
    </w:p>
    <w:p>
      <w:r>
        <w:rPr>
          <w:b/>
        </w:rPr>
        <w:t>E. 8</w:t>
      </w:r>
    </w:p>
    <w:p>
      <w:r>
        <w:t>Abs. 1 des Reglements des Bundesstrafgerichts vom 31. August 2010 über die Kosten,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