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BB.2016.56 vom 5. Juli 2016</w:t>
      </w:r>
    </w:p>
    <w:p>
      <w:r>
        <w:t>Bundesstrafgericht, 2016-07-05, DE</w:t>
      </w:r>
    </w:p>
    <w:p>
      <w:r>
        <w:rPr>
          <w:b/>
        </w:rPr>
        <w:t xml:space="preserve">Quelle: </w:t>
      </w:r>
      <w:r>
        <w:t>https://mcp.opencaselaw.ch/entscheid/bstger_BB.2016.56</w:t>
      </w:r>
    </w:p>
    <w:p>
      <w:r>
        <w:t>FR: TPF BB.2016.56 du 5 juillet 2016</w:t>
      </w:r>
    </w:p>
    <w:p>
      <w:r>
        <w:t>IT: TPF BB.2016.56 del 5 luglio 2016</w:t>
      </w:r>
    </w:p>
    <w:p>
      <w:pPr>
        <w:pStyle w:val="Heading2"/>
      </w:pPr>
      <w:r>
        <w:t>Regeste</w:t>
      </w:r>
    </w:p>
    <w:p>
      <w:r>
        <w:t>Entschädigung der amtlichen Verteidigung (Art. 135 Abs. 3 StPO).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Ist die Beschwerdeinstanz ein Kollegialgericht, so beurteilt deren Verfah- rensleitung die Beschwerde allein, wenn diese die wirtschaftlichen Nebenfol- gen eines Entscheides bei einem strittigen Betrag von nicht mehr als Fr. 5'000.-- zum Gegenstand hat (Art. 395 lit. b StPO). Zu den wirtschaftli- chen Nebenfolgen im Sinne dieser Bestimmung zählt auch die Entschädi- gung der amtlichen Verteidigung (SCHMID, Handbuch des schweizerischen Strafprozessrechts, 2. Aufl., Zürich/St. Gallen 2013, N. 1521).</w:t>
      </w:r>
    </w:p>
    <w:p>
      <w:r>
        <w:t>- 3 -</w:t>
      </w:r>
    </w:p>
    <w:p>
      <w:r>
        <w:rPr>
          <w:b/>
        </w:rPr>
        <w:t>E. 1.2</w:t>
      </w:r>
    </w:p>
    <w:p>
      <w:r>
        <w:t>Mit dem angefochtenen Urteil wurde die Entschädigung der Beschwerdefüh- rerin als amtliche Verteidigerin für das erstinstanzliche Verfahren von Fr. 23‘613.-- auf Fr. 12'000.-- gekürzt. Die Beschwerdeführerin beantragt die Aufhebung des obergerichtlichen Urteils. Daraus folgt, dass die wirtschaftli- chen Nebenfolgen des strittigen Betrags mehr als Fr. 5'000.-- betragen. Dementsprechend ist über das eingeleitete Beschwerdeverfahren in Dreier- besetzung zu entscheiden (vgl. Art. 38 StBOG).</w:t>
      </w:r>
    </w:p>
    <w:p>
      <w:r>
        <w:rPr>
          <w:b/>
        </w:rPr>
        <w:t>E. 2</w:t>
      </w:r>
    </w:p>
    <w:p>
      <w:r>
        <w:t>Aufl., Basel 2014, Art. 135 StPO N. 19).</w:t>
      </w:r>
    </w:p>
    <w:p>
      <w:r>
        <w:rPr>
          <w:b/>
        </w:rPr>
        <w:t>E. 2.1</w:t>
      </w:r>
    </w:p>
    <w:p>
      <w:r>
        <w:t>Gegen den Entscheid, mit welchem das Berufungsgericht eines Kantons die Entschädigung der amtlichen Verteidigung für deren Bemühungen im kanto- nalen Berufungsverfahren festsetzt, kann diese bei der Beschwerdekammer des Bundesstrafgerichts Beschwerde führen (Art. 135 Abs. 3 lit. b StPO i.V.m. Art. 37 Abs. 1 StBOG; vgl. Beschluss des Bundesstrafgerichts BB.2016.51 vom 4. April 2016, E. 1.1; RUCKSTUHL, Basler Kommentar,</w:t>
      </w:r>
    </w:p>
    <w:p>
      <w:r>
        <w:rPr>
          <w:b/>
        </w:rPr>
        <w:t>E. 2.2</w:t>
      </w:r>
    </w:p>
    <w:p>
      <w:r>
        <w:t>Vorliegend wird ausschliesslich die durch das OG festgesetzte Entschädi- gung der Beschwerdeführerin als amtliche Verteidigerin für das erstinstanz- liche Verfahren angefochten. Die vom OG für das Berufungsverfahren fest- gesetzte Entschädigung blieb unangefochten. Nach der Rechtsprechung ist in solchen Konstellationen Beschwerde in Strafsachen an das Bundesgericht zu erheben (BGE 140 IV 213 E. 1.7; Beschluss des Bundesstrafgerichts BB.2016.51 vom 4. April 2016, E. 2, mit weiteren Hinweisen). Auf die Be- schwerde ist folgerichtig nicht einzutreten und diese ist zuständigkeitshalber dem Bundesgericht zu überweisen.</w:t>
      </w:r>
    </w:p>
    <w:p>
      <w:r>
        <w:rPr>
          <w:b/>
        </w:rPr>
        <w:t>E. 3</w:t>
      </w:r>
    </w:p>
    <w:p>
      <w:r>
        <w:t>Es sind keine Kosten zu erheben.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