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BB.2016.55 vom 23. März 2016</w:t>
      </w:r>
    </w:p>
    <w:p>
      <w:r>
        <w:t>Bundesstrafgericht, 2016-03-23, DE</w:t>
      </w:r>
    </w:p>
    <w:p>
      <w:r>
        <w:rPr>
          <w:b/>
        </w:rPr>
        <w:t xml:space="preserve">Quelle: </w:t>
      </w:r>
      <w:r>
        <w:t>https://mcp.opencaselaw.ch/entscheid/bstger_BB.2016.55</w:t>
      </w:r>
    </w:p>
    <w:p>
      <w:r>
        <w:t>FR: TPF BB.2016.55 du 23 mars 2016</w:t>
      </w:r>
    </w:p>
    <w:p>
      <w:r>
        <w:t>IT: TPF BB.2016.55 del 23 marzo 2016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Volltext</w:t>
      </w:r>
    </w:p>
    <w:p>
      <w:r>
        <w:t>Beschluss vom 23. März 2016 Beschwerdekammer Besetzung</w:t>
      </w:r>
    </w:p>
    <w:p>
      <w:r>
        <w:t>Bundesstrafrichter Stephan Blättler, Vorsitz, Andreas J. Keller und Nathalie Zufferey Franciolli, Gerichtsschreiber Stefan Graf</w:t>
      </w:r>
    </w:p>
    <w:p>
      <w:r>
        <w:t>Parteien</w:t>
      </w:r>
    </w:p>
    <w:p>
      <w:r>
        <w:t>A., vertreten durch Rechtsanwalt Thomas Finger- huth</w:t>
      </w:r>
    </w:p>
    <w:p>
      <w:r>
        <w:t>Gesuchsteller</w:t>
      </w:r>
    </w:p>
    <w:p>
      <w:r>
        <w:t>gegen</w:t>
      </w:r>
    </w:p>
    <w:p>
      <w:r>
        <w:t>1. B., Staatsanwalt des Bundes,</w:t>
      </w:r>
    </w:p>
    <w:p>
      <w:r>
        <w:t>2. C., Staatsanwalt des Bundes,</w:t>
      </w:r>
    </w:p>
    <w:p>
      <w:r>
        <w:t>Gesuchsgegner</w:t>
      </w:r>
    </w:p>
    <w:p>
      <w:r>
        <w:t>Gegenstand</w:t>
      </w:r>
    </w:p>
    <w:p>
      <w:r>
        <w:t>Ausstand der Bundesanwaltschaft (Art. 59 Abs. 1 lit. b i.V.m. Art. 56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BB.2016.55</w:t>
      </w:r>
    </w:p>
    <w:p>
      <w:r>
        <w:t>- 2 -</w:t>
      </w:r>
    </w:p>
    <w:p>
      <w:r>
        <w:t>Die Beschwerdekammer hält fest, dass:</w:t>
      </w:r>
    </w:p>
    <w:p>
      <w:r>
        <w:t>- bei der Strafkammer des Bundesstrafgerichts derzeit das u. a. gegen A. we- gen des Verdachts der Bestechung fremder Amtsträger sowie weiterer De- likte geführte Hauptverfahren hängig ist;</w:t>
      </w:r>
    </w:p>
    <w:p>
      <w:r>
        <w:t>- A. mit Eingabe vom 4. März 2016 beantragt, die eingangs erwähnten Staats- anwälte des Bundes seien in den Ausstand zu treten (sic!), sämtliche Ver- fahrenshandlungen, an denen sie teilgenommen haben, seien aufzuheben und die Sache sei zur Wiederholung des Vorverfahrens an die Untersu- chungsbehörde zurückzuweisen (act. 2);</w:t>
      </w:r>
    </w:p>
    <w:p>
      <w:r>
        <w:t>- der Staatsanwalt des Bundes B. beantragt, auf das Gesuch sei nicht einzu- treten, eventualiter sei dieses abzuweisen (act. 4);</w:t>
      </w:r>
    </w:p>
    <w:p>
      <w:r>
        <w:t>- A. mit Stellungnahme vom 18. März 2016 an seinen Begehren festhält (act. 7).</w:t>
      </w:r>
    </w:p>
    <w:p>
      <w:r>
        <w:t>Die Beschwerdekammer zieht in Erwägung, dass:</w:t>
      </w:r>
    </w:p>
    <w:p>
      <w:r>
        <w:t>- die Beschwerdekammer des Bundesstrafgerichts zuständig ist zum Ent- scheid über Ausstandsgesuche, wenn davon die Bundesanwaltschaft betrof- fen ist (Art. 59 Abs. 1 lit. b StPO i.V.m. Art. 37 Abs. 1 StBOG);</w:t>
      </w:r>
    </w:p>
    <w:p>
      <w:r>
        <w:t>- eine Partei, die den Ausstand einer in einer Strafbehörde tätigen Person ver- langen will, der Verfahrensleitung ohne Verzug ein entsprechendes Gesuch zu stellen hat, sobald sie vom Ausstandsgrund Kenntnis hat (Art. 58 Abs. 1 StPO);</w:t>
      </w:r>
    </w:p>
    <w:p>
      <w:r>
        <w:t>- sie dabei die den Ausstand begründenden Tatsachen glaubhaft zu machen hat (Art. 58 Abs. 1 StPO);</w:t>
      </w:r>
    </w:p>
    <w:p>
      <w:r>
        <w:t>- die Partei «ohne Verzug», d. h. in der Regel innerhalb von sechs bis sieben Tagen zu handeln hat, sobald sie vom Ausstandsgrund Kenntnis hat, sie an- sonsten das Recht auf dessen Anrufung verwirkt (Urteile des Bundesgerichts 1B_14/2016 vom 2. Februar 2016, E. 2; 1B_101/2011 vom 4. Mai 2011, E. 3.1);</w:t>
      </w:r>
    </w:p>
    <w:p>
      <w:r>
        <w:t>- 3 -</w:t>
      </w:r>
    </w:p>
    <w:p>
      <w:r>
        <w:t>- sich der Gesuchsteller zur Begründung seines Gesuchs auf eine Einstel- lungsverfügung vom 5. September 2013 und auf ein Memorandum of Under- standing vom 22. März 2010 zwischen der Bundesanwaltschaft und der D. AG bezieht, deren Inhalt den Ausgang des gegen A. gerichteten Verfahrens präjudiziere;</w:t>
      </w:r>
    </w:p>
    <w:p>
      <w:r>
        <w:t>- der Inhalt des Memorandum of Understanding gemäss den Zeugenaussa- gen von E. offensichtlich keinen Bezug zum Gegenstand des gegen A. ge- richteten Verfahrens aufweisen kann (Akten BA, pag. 12.018-0006 f.) und der Gesuchsteller diesbezüglich mit seinen Ausführungen nichts anderes glaubhaft macht;</w:t>
      </w:r>
    </w:p>
    <w:p>
      <w:r>
        <w:t>- die ebenfalls angeführte Einstellungsverfügung vom 5. September 2013 und somit auch deren Inhalt dem damaligen Vertreter von A. und damit dem Ge- suchsteller als Partei am 23. Dezember 2013 ausdrücklich zur Kenntnis ge- bracht worden ist (Akten BA, pag. 16.106-0165 f.);</w:t>
      </w:r>
    </w:p>
    <w:p>
      <w:r>
        <w:t>- sich das über zwei Jahre danach gestellte Ausstandsgesuch demzufolge als offensichtlich verspätet erweist;</w:t>
      </w:r>
    </w:p>
    <w:p>
      <w:r>
        <w:t>- ein Wechsel des Verteidigers nach Kenntnisnahme eines allfälligen Aus- standsgrundes durch die Partei selber keine neue Frist im Sinne von Art. 58 Abs. 1 StPO auslöst;</w:t>
      </w:r>
    </w:p>
    <w:p>
      <w:r>
        <w:t>- sich das Gesuch nach dem Gesagten als offensichtlich unzulässig erweist, weshalb darauf nicht einzutreten ist;</w:t>
      </w:r>
    </w:p>
    <w:p>
      <w:r>
        <w:t>- bei diesem Ausgang des Verfahrens der Gesuchsteller dessen Kosten zu tragen hat (Art. 59 Abs. 4 StPO);</w:t>
      </w:r>
    </w:p>
    <w:p>
      <w:r>
        <w:t>- diese festzusetzen sind auf Fr. 1'000.– (Art. 73 StBOG und Art. 5 und 8 Abs. 2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Auf das Gesuch wird nicht eingetreten.</w:t>
      </w:r>
    </w:p>
    <w:p>
      <w:r>
        <w:t>2. Die Gerichtsgebühr von Fr. 1'000.– wird dem Gesuchsteller auferlegt.</w:t>
      </w:r>
    </w:p>
    <w:p>
      <w:r>
        <w:t>Bellinzona, 23. März 2016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Thomas Fingerhuth - B. - C. - Strafkammer des Bundesstrafgerichts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