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BB.2016.4 vom 2. Juni 2016</w:t>
      </w:r>
    </w:p>
    <w:p>
      <w:r>
        <w:t>Bundesstrafgericht, 2016-06-02, FR</w:t>
      </w:r>
    </w:p>
    <w:p>
      <w:r>
        <w:rPr>
          <w:b/>
        </w:rPr>
        <w:t xml:space="preserve">Quelle: </w:t>
      </w:r>
      <w:r>
        <w:t>https://mcp.opencaselaw.ch/entscheid/bstger_BB.2016.4</w:t>
      </w:r>
    </w:p>
    <w:p>
      <w:r>
        <w:t>FR: TPF BB.2016.4 du 2 juin 2016</w:t>
      </w:r>
    </w:p>
    <w:p>
      <w:r>
        <w:t>IT: TPF BB.2016.4 del 2 giugno 2016</w:t>
      </w:r>
    </w:p>
    <w:p>
      <w:pPr>
        <w:pStyle w:val="Heading2"/>
      </w:pPr>
      <w:r>
        <w:t>Regeste</w:t>
      </w:r>
    </w:p>
    <w:p>
      <w:r>
        <w:t>Séquestre (art. 263 ss CPP).</w:t>
      </w:r>
    </w:p>
    <w:p>
      <w:pPr>
        <w:pStyle w:val="Heading2"/>
      </w:pPr>
      <w:r>
        <w:t>Erwägungen</w:t>
      </w:r>
    </w:p>
    <w:p>
      <w:r>
        <w:rPr>
          <w:b/>
        </w:rPr>
        <w:t>E. 1</w:t>
      </w:r>
    </w:p>
    <w:p>
      <w:r>
        <w:t>Les décisions du MPC peuvent faire l'objet d'un recours devant la Cour de céans (art. 393 al. 1 let. a CPP et 37 al. 1 de la fédérale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- 4 -</w:t>
      </w:r>
    </w:p>
    <w:p>
      <w:r>
        <w:rPr>
          <w:b/>
        </w:rPr>
        <w:t>E. 2</w:t>
      </w:r>
    </w:p>
    <w:p>
      <w:r>
        <w:t>Le recourant attaque l’ordonnance de séquestre du 27 novembre 2015. Comme le relève le MPC, il se pose la question du respect du délai de recours.</w:t>
      </w:r>
    </w:p>
    <w:p>
      <w:r>
        <w:rPr>
          <w:b/>
        </w:rPr>
        <w:t>E. 2.1</w:t>
      </w:r>
    </w:p>
    <w:p>
      <w:r>
        <w:t>Les rapports entre la banque et le titulaire du compte relèvent du mandat. En vertu de l'obligation de reddition de comptes, la banque doit renseigner le client et doit l'informer de tous les faits qui sont susceptibles d'avoir un impact sur la relation contractuelle (LOMBARDINI, Droit bancaire suisse, 2e éd., Zurich/Bâle/Genève 2008, n° 14 et n° 31 ss. ; BORSODI/JEANNERET, L'interdiction faite à la banque de communiquer à son client l'existence de mesures de contrainte visant la relation bancaire, AJP 2006 p. 280 ss., p. 282). On peut s'attendre que la banque informe le titulaire de la relation saisie afin que l'intéressé puisse se déterminer sur la conduite à tenir (ATF 130 IV 43 consid. 1.3 et références citées). Si le client a conclu avec l'établissement bancaire une convention de "banque restante", chaque communication effectuée dans le dossier de banque restante est réputée valablement notifiée et lui est opposable comme s'il l'avait personnellement reçue (GUTZWILLER, Rechtsfragen der Vermögensverwaltung, Zurich/Bâle/ Genève 2008, p. 195 s.). Le délai de recours commence à courir dès le moment où le client aurait reçu l'information de la banque si celle-ci la lui avait communiquée sans délai (ATF 124 II 124 consid. 2d/aa). Même si l'on peut admettre que quelques jours s'écoulent avant que la banque ne communique la mesure de séquestre, elle ne détient toutefois pas un pouvoir discrétionnaire quant à la date de la remise d'une copie de la décision à son client; elle ne peut dès lors pas retarder selon son bon vouloir la communication du séquestre d'un compte ordonné par une autorité judiciaire (ATF 130 IV 43 consid. 1.3 in fine).</w:t>
      </w:r>
    </w:p>
    <w:p>
      <w:r>
        <w:rPr>
          <w:b/>
        </w:rPr>
        <w:t>E. 2.2</w:t>
      </w:r>
    </w:p>
    <w:p>
      <w:r>
        <w:t>En l’occurrence, sur la base du dossier il n’est pas possible de déterminer si la recourante et la banque ont conclu une convention de banque restante. Il appert toutefois clairement que la banque a été informée de la levée de l’interdiction de communiquer le 8 décembre 2015 tant par fax que par courrier prioritaire (act. 4.4), ce que l’établissement bancaire a confirmé par courrier du 10 décembre 2015 adressé au MPC (act. 4.5). La banque était donc en mesure d'informer la recourante de la décision de séquestre du MPC dès le 8 décembre 2015. Cela vaut quand bien même la banque D. a, par courrier du 10 décembre 2015 au MPC, estimé utile de préciser son degré d’entendement de la portée de la levée de l’interdiction de communiquer dans le sens que ʺSelon notre compréhension, nous pouvons informer tous les titulaires des relations concernées de l’existence de la procédure en cours ainsi que du blocage de leurs avoirs et de l’obligation de dépôt de la documentation bancaire mais pour toute autres information ou requête, nous inviterons les titulaires et leurs représentants à s’adresser</w:t>
      </w:r>
    </w:p>
    <w:p>
      <w:r>
        <w:t>- 5 -</w:t>
      </w:r>
    </w:p>
    <w:p>
      <w:r>
        <w:t>directement auprès de votre Autoritéʺ (act. 4.5). C’est afin d’éviter tout malentendu quant à la possibilité de la banque D. de notifier la décision de saisie à la recourante, que par courrier du 11 décembre 2015, le MPC lui a rappelé la teneur du courrier du 8 décembre 2015. Il ressort du dossier que le conseil de la recourante a pris contact avec la banque par courriel du 10 décembre 2015 en relation avec la procédure de blocage. La banque a cependant attendu le 15 décembre 2015 pour informer formellement A. SA de l'ordonnance querellée (act. 1.13), ledit courrier ne contenant cependant aucune copie de l’ordonnance de séquestre. Ce n’est que le 23 décembre 2015, sollicitée par A. SA, que la banque D. a remis le prononcé du MPC – partiellement caviardé par elle-même – à la recourante (act. 1.17 et 4). Au vu de ce qui précède, en vertu de son obligation de diligence découlant de ses devoirs de mandataire, la banque D. était tenue de transmettre dans les plus brefs délais les actes émanant du MPC à sa cliente. En attendant jusqu’au 23 décembre 2015 pour informer le client, la banque D. a pris le risque de rendre tardif un éventuel recours du client.</w:t>
      </w:r>
    </w:p>
    <w:p>
      <w:r>
        <w:rPr>
          <w:b/>
        </w:rPr>
        <w:t>E. 2.3</w:t>
      </w:r>
    </w:p>
    <w:p>
      <w:r>
        <w:t>Sur la base de la jurisprudence susmentionnée, il y a lieu de considérer que la recourante aurait dû avoir connaissance de la décision entreprise au plus tard les 8 ou 9 décembre 2015. Cela signifie que le délai de recours de dix jours est en l'espèce arrivé à échéance avant la fin du mois de décembre 2015. Le fait que l'ordonnance était dépourvue de motivation ne saurait rien changer à ce constat, du moment où le caviardage a été opéré par la banque elle-même, et qu'il n'y a pas eu de notification irrégulière de la part du MPC. Ce dernier a en effet fourni à la banque une version complète de son prononcé (act. 4). A la lumière de ces circonstances, la recourante doit se laisser imputer les actes de la banque (cf. décisions du Tribunal pénal fédéral BB.2015.102 du 27 janvier 2016, consid. 2.7; BB.2015.31 du 15 juillet 2015, consid. 1.4.3).</w:t>
      </w:r>
    </w:p>
    <w:p>
      <w:r>
        <w:rPr>
          <w:b/>
        </w:rPr>
        <w:t>E. 2.4</w:t>
      </w:r>
    </w:p>
    <w:p>
      <w:r>
        <w:t>Au vu des considérations qui précédent, le recours déposé le 4 janvier 2016 doit être considéré tardif en tant qu’il attaque l’ordonnance de séquestre du 27 novembre 2015 et doit être déclaré irrecevable.</w:t>
      </w:r>
    </w:p>
    <w:p>
      <w:r>
        <w:rPr>
          <w:b/>
        </w:rPr>
        <w:t>E. 3.1</w:t>
      </w:r>
    </w:p>
    <w:p>
      <w:r>
        <w:t>La recourante s’en prend également au courrier du MPC du 22 décembre 2015, par lequel le MPC informe A. SA du séquestre pénal des relations bancaires liées à C. et qu’il est intervenu le 27 novembre 2015 dans le cadre de la procédure pénale SV.14.0781 visant notamment B. ʺau vu des liens financiers étroits entre les précités et leur implication présumée, entre autre, aux pays Z. et Y., dans le cadre de la débâcle du groupe F.ʺ.</w:t>
      </w:r>
    </w:p>
    <w:p>
      <w:r>
        <w:t>- 6 -</w:t>
      </w:r>
    </w:p>
    <w:p>
      <w:r>
        <w:t>Il apparaît d'emblée que ledit courrier ne constitue pas une décision, le MPC se limitant à informer la recourante d’une mesure dont cette dernière avait déjà connaissance (cf. supra, consid. 3).</w:t>
      </w:r>
    </w:p>
    <w:p>
      <w:r>
        <w:rPr>
          <w:b/>
        </w:rPr>
        <w:t>E. 3.2</w:t>
      </w:r>
    </w:p>
    <w:p>
      <w:r>
        <w:t>Faute de décision à quereller, le recours contre le courrier du 22 décembre 2015 est manifestement irrecevable.</w:t>
      </w:r>
    </w:p>
    <w:p>
      <w:r>
        <w:rPr>
          <w:b/>
        </w:rPr>
        <w:t>E. 4</w:t>
      </w:r>
    </w:p>
    <w:p>
      <w:r>
        <w:t>Au vu de ce qui précède, le recours est irrecevable.</w:t>
      </w:r>
    </w:p>
    <w:p>
      <w:r>
        <w:rPr>
          <w:b/>
        </w:rPr>
        <w:t>E. 5</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