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BB.2016.396 vom 3. August 2017</w:t>
      </w:r>
    </w:p>
    <w:p>
      <w:r>
        <w:t>Bundesstrafgericht, 2017-08-03, FR</w:t>
      </w:r>
    </w:p>
    <w:p>
      <w:r>
        <w:rPr>
          <w:b/>
        </w:rPr>
        <w:t xml:space="preserve">Quelle: </w:t>
      </w:r>
      <w:r>
        <w:t>https://mcp.opencaselaw.ch/entscheid/bstger_BB.2016.396</w:t>
      </w:r>
    </w:p>
    <w:p>
      <w:r>
        <w:t>FR: TPF BB.2016.396 du 3 août 2017</w:t>
      </w:r>
    </w:p>
    <w:p>
      <w:r>
        <w:t>IT: TPF BB.2016.396 del 3 agosto 2017</w:t>
      </w:r>
    </w:p>
    <w:p>
      <w:pPr>
        <w:pStyle w:val="Heading2"/>
      </w:pPr>
      <w:r>
        <w:t>Regeste</w:t>
      </w:r>
    </w:p>
    <w:p>
      <w:r>
        <w:t>Séquestre (art. 263 ss CPP).</w:t>
      </w:r>
    </w:p>
    <w:p>
      <w:pPr>
        <w:pStyle w:val="Heading2"/>
      </w:pPr>
      <w:r>
        <w:t>Erwägungen</w:t>
      </w:r>
    </w:p>
    <w:p>
      <w:r>
        <w:rPr>
          <w:b/>
        </w:rPr>
        <w:t>E. 1</w:t>
      </w:r>
    </w:p>
    <w:p>
      <w:r>
        <w:t>En tant qu’autorité de recours, la Cour des plaintes examine avec plein pouvoir de cognition en fait et en droit les recours qui lui sont soumis (Message du 21 décembre 2005 relatif à l’unification du droit de la procédure pénale, FF 2006 1057 [ci-après: Message CPP], p. 1296 in fine.; GUIDON, Commentaire bâlois, 2e éd., Bâle 2014 [ci-après: BSK StPO], n° 15 ad art. 393 CPP; KELLER, Donatsch/Hansjakob/Lieber [édit.], Kommentar zur Schweizerischen Strafprozessordnung [StPO], 2e éd., Zurich/Bâle/Genève 2014, no 39 ad art. 393 CPP; SCHMID, Handbuch des schweizerischen Strafprozessrechts, 2e éd., Zurich/Saint-Gall 2013, no 1512).</w:t>
      </w:r>
    </w:p>
    <w:p>
      <w:r>
        <w:rPr>
          <w:b/>
        </w:rPr>
        <w:t>E. 1.1</w:t>
      </w:r>
    </w:p>
    <w:p>
      <w:r>
        <w:t>Les décisions du MPC peuvent faire l’objet d’un recours devant la Cour de céans (art. 393 al. 1 let. a CPP et art. 37 al. 1 de la loi fédérale du 19 mars 2010 sur l'organisation des autorités pénales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1.2</w:t>
      </w:r>
    </w:p>
    <w:p>
      <w:r>
        <w:t>Dispose de la qualité pour recourir toute partie qui a un intérêt juridiquement</w:t>
      </w:r>
    </w:p>
    <w:p>
      <w:r>
        <w:t>- 4 -</w:t>
      </w:r>
    </w:p>
    <w:p>
      <w:r>
        <w:t>protégé à l'annulation ou à la modification d'une décision (art. 382 al. 1 CPP; arrêt du Tribunal fédéral 1B_458/2013 du 6 mars 2014, consid. 2.1). Le recourant doit avoir subi une lésion, soit un préjudice causé par l'acte qu'il attaque et doit avoir un intérêt à l'élimination de ce préjudice (décision du Tribunal pénal fédéral BB.2012.148 du 10 avril 2013, consid. 1.3). Cet intérêt doit être actuel (décisions du Tribunal pénal fédéral BB.2013.188 du 12 août 2014, consid. 1.4; BB.2013.89 du 24 octobre 2013, consid. 1.3; BB.2013.88 du 13 septembre 2013, consid. 1.4 et références citées).</w:t>
      </w:r>
    </w:p>
    <w:p>
      <w:r>
        <w:rPr>
          <w:b/>
        </w:rPr>
        <w:t>E. 1.3</w:t>
      </w:r>
    </w:p>
    <w:p>
      <w:r>
        <w:t>La qualité pour recourir de A. AG est patente, celle-ci étant titulaire de la relation bancaire frappée par la mesure de séquestre (décision du Tribunal pénal fédéral BB.2015.26 du 15 juillet 2015, consid. 1.3).</w:t>
      </w:r>
    </w:p>
    <w:p>
      <w:r>
        <w:rPr>
          <w:b/>
        </w:rPr>
        <w:t>E. 2</w:t>
      </w:r>
    </w:p>
    <w:p>
      <w:r>
        <w:t>En substance, la recourante se plaint que le MPC n’a pas réagi à ses nombreuses requêtes et maintenant y a donné une suite défavorable dans le cadre d’une « 8 jaehrigen Vendetta gegen einen unserer Verwaltungsraete ». Elle allègue que l’enquête contre D. est terminée depuis fin 2014 et que le Tribunal pénal fédéral a renvoyé l’acte d’accusation en août 2015 au MPC (act. 1, p. 1). Elle argue en outre que les avoirs séquestrés n’ont aucun lien avec la procédure contre D. ou B. (act. 1, p. 3).</w:t>
      </w:r>
    </w:p>
    <w:p>
      <w:r>
        <w:rPr>
          <w:b/>
        </w:rPr>
        <w:t>E. 2.1</w:t>
      </w:r>
    </w:p>
    <w:p>
      <w:r>
        <w:t>Ces griefs ont déjà été soulevés devant la Cour de céans et ont été tranchés par celle-ci dans sa décision du 12 septembre 2016 BB.2015.124 + BB.2016.8 + BB.2016.340, prononcé ultérieurement confirmé par le Tribunal fédéral le 16 novembre 2016 (supra let. D).</w:t>
      </w:r>
    </w:p>
    <w:p>
      <w:r>
        <w:rPr>
          <w:b/>
        </w:rPr>
        <w:t>E. 2.2</w:t>
      </w:r>
    </w:p>
    <w:p>
      <w:r>
        <w:t>Ainsi, selon les termes du Tribunal fédéral (arrêt du Tribunal fédéral 1B_364/2016 du 16 novembre 2016, consid. 3.1 et .3.2), 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(art. 263 al. 1 CPP et 71 al. 3 CP). L'autorité doit pouvoir statuer rapidement (v. art. 263 al. 2 CPP), ce qui exclut qu'elle résolve des questions juridiques complexes ou qu'elle attende d'être renseignée de manière exacte et complète sur les faits avant d'agir (ATF 141 IV 360</w:t>
      </w:r>
    </w:p>
    <w:p>
      <w:r>
        <w:t>- 5 -</w:t>
      </w:r>
    </w:p>
    <w:p>
      <w:r>
        <w:t>consid. 3.2 et les arrêts cités).</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(ATF 141 IV 360 consid. 3.2); l'intégralité des fonds doit demeurer à disposition de la justice aussi longtemps qu'il existe un doute sur la part des fonds qui pourrait provenir d'une activité criminelle (arrêt 1B_145/2016 du 1er juillet 2016 consid. 3.1 et les arrêts cités). Les probabilités d'une confiscation, respectivement du prononcé d'une créance compensatrice, doivent cependant se renforcer au cours de l'instruction (ATF 122 IV 91 consid. 4; arrêt du Tribunal fédéral 1B_416/2012 du 30 octobre 2012 consid. 2.1). Selon la jurisprudence, un séquestre peut en effet apparaître disproportionné lorsque la procédure dans laquelle il s'inscrit s'éternise sans motifs suffisants (ATF 132 I 229 consid. 11.6). En outre, pour respecter le principe de proportionnalité, l'étendue du séquestre doit rester en rapport avec le produit de l'infraction poursuivie (ATF 130 II 329 consid. 6).</w:t>
      </w:r>
    </w:p>
    <w:p>
      <w:r>
        <w:rPr>
          <w:b/>
        </w:rPr>
        <w:t>E. 2.3</w:t>
      </w:r>
    </w:p>
    <w:p>
      <w:r>
        <w:t>Toujours dans le même arrêt du Tribunal fédéral (arrêt 1B_364/2016 précité, consid. 3.2), notre Haute Cour a rappelé que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(ATF 140 IV 57 consid. 4.1.2 et les nombreuses références citées). Afin de garantir le prononcé d'une telle créance, l'art. 71 al. 3 CP permet à l'autorité de placer sous séquestre des valeurs patrimoniales sans lien de connexité avec les faits faisant l'objet de l'instruction (ATF 140 IV 57 consid. 4.1.2). Par « personne concernée » au sens de cette disposition, on entend non seulement l'auteur, mais aussi, à certaines conditions, un tiers favorisé, d'une manière ou d'une autre, par l'infraction (v. art. 71 al. 1 CP</w:t>
      </w:r>
    </w:p>
    <w:p>
      <w:r>
        <w:t>- 6 -</w:t>
      </w:r>
    </w:p>
    <w:p>
      <w:r>
        <w:t>renvoyant à l'art. 70 al. 2 CP). La jurisprudence a aussi admis qu'un séquestre ordonné sur la base de l'art. 71 al. 3 CP peut viser les biens d'une société tierce, dans les cas où il convient de faire abstraction de la distinction entre l'actionnaire – auteur présumé de l'infraction – et la société qu'il détient (théorie dite de la transparence [« Durchgriff »]). Il en va de même dans l'hypothèse où le prévenu serait – dans les faits et malgré les apparences – le véritable bénéficiaire des valeurs cédées à un « homme de paille » (« Strohmann ») sur la base d'un contrat simulé (« Scheingeschäft »; ATF 140 IV 57 consid. 4.1.2 et les nombreuses références citées). Dans le cas d’espèce, le Tribunal fédéral a également relevé que contrairement à ce qu'aimerait croire la recourante, le renvoi à l'instruction prononcé le 31 août 2015 ne s'apparente pas à un classement de la procédure ouverte contre son administrateur mais tend à exclure le renvoi de ce seul prévenu devant le juge du fond alors que d'autres prévenus paraissent concernés par le même complexe de faits (unité de la procédure, économie de procédure, garanties procédurales des autres prévenus). Il n'en résulte donc pas que les charges pesant à son encontre seraient abandonnées. En outre, le Tribunal fédéral a estimé que la mesure prononcée par le MPC ne viole pas le principe de la proportionnalité et que le défaut de lien de connexité présumé entre les avoirs séquestrés et les infraction reprochées à D. ne suffit pas pour exclure un séquestre en vue de garantir une créance compensatrice (arrêt du Tribunal fédéral 1B_364/2016 précité, consid. 3.4). Enfin, le Tribunal fédéral a retenu que bien que la recourante alléguait qu’elle appartiendrait à 100 % à un tiers, ils existaient suffisamment d’éléments pour considérer que des liens existent entre la recourante et D. et que ce dernier semble à même de pouvoir influencer d’une manière déterminante les décisions de celle-là, respectivement peut gérer ses actifs et ses passifs. Par surabondance, la Cour de céans relève que D. est dorénavant l’unique membre du conseil d’administration de la recourante et possède encore et toujours le droit de signature individuelle pour celle-ci (supra let. B).</w:t>
      </w:r>
    </w:p>
    <w:p>
      <w:r>
        <w:rPr>
          <w:b/>
        </w:rPr>
        <w:t>E. 2.4</w:t>
      </w:r>
    </w:p>
    <w:p>
      <w:r>
        <w:t>La recourante ne documente nullement ses requêtes de levée partielle de séquestre et ne présente pas de nouveaux griefs qui permettraient de remettre en question les considérations et conclusions du Tribunal fédéral dans son arrêt 1B_364/2016 précité quant au bien-fondé du séquestre querellé. Au vu de ce qui précède, le recours doit être rejeté.</w:t>
      </w:r>
    </w:p>
    <w:p>
      <w:r>
        <w:rPr>
          <w:b/>
        </w:rPr>
        <w:t>E. 3</w:t>
      </w:r>
    </w:p>
    <w:p>
      <w:r>
        <w:t>En tant que partie qui succombe, la recourante se voit mettre à charge les frais, et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w:t>
      </w:r>
    </w:p>
    <w:p>
      <w:r>
        <w:t>- 7 -</w:t>
      </w:r>
    </w:p>
    <w:p>
      <w:r>
        <w:t>Tribunal pénal fédéral du 31 août 2010 sur les frais, émoluments, dépens et indemnités de la procédure pénale fédérale (RFPPF; RS 173.713.162), sera fixé à CHF 2'000.--.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