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BB.2016.394 vom 20. Juni 2017</w:t>
      </w:r>
    </w:p>
    <w:p>
      <w:r>
        <w:t>Bundesstrafgericht, 2017-06-20, DE</w:t>
      </w:r>
    </w:p>
    <w:p>
      <w:r>
        <w:rPr>
          <w:b/>
        </w:rPr>
        <w:t xml:space="preserve">Quelle: </w:t>
      </w:r>
      <w:r>
        <w:t>https://mcp.opencaselaw.ch/entscheid/bstger_BB.2016.394</w:t>
      </w:r>
    </w:p>
    <w:p>
      <w:r>
        <w:t>FR: TPF BB.2016.394 du 20 juin 2017</w:t>
      </w:r>
    </w:p>
    <w:p>
      <w:r>
        <w:t>IT: TPF BB.2016.394 del 20 giugno 2017</w:t>
      </w:r>
    </w:p>
    <w:p>
      <w:pPr>
        <w:pStyle w:val="Heading2"/>
      </w:pPr>
      <w:r>
        <w:t>Regeste</w:t>
      </w:r>
    </w:p>
    <w:p>
      <w:r>
        <w:t>Durchsuchung von Aufzeichnungen (Art. 246 f. StPO).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November 2016 sichergestellten Dateien und Datenträger einen Durch- suchungs- und Sicherstellungsbefehl erliess (act. 1.2);</w:t>
      </w:r>
    </w:p>
    <w:p>
      <w:r>
        <w:t>- dagegen A. bei der Beschwerdekammer des Bundesstrafgerichts Be- schwerde erhebt und beantragt, der Durchsuchungs- und Sicherstellungsbe- fehl vom 12. Dezember 2016 sei aufzuheben und die Bundesanwaltschaft sei dazu zu verpflichten, ihm die sichergestellten Dateien und Datenträger, Akten, Schriftstücke, Aufzeichnungen, Dokumente etc. zurückzugeben (act. 1);</w:t>
      </w:r>
    </w:p>
    <w:p>
      <w:r>
        <w:t>- die Bundesanwaltschaft im Rahmen des Schriftenwechsels beantragt, die Beschwerde sei abzuweisen bzw. auf die Beschwerde sei nicht einzutreten (act. 8 und 16);</w:t>
      </w:r>
    </w:p>
    <w:p>
      <w:r>
        <w:t>- gegen Verfügungen und Verfahrenshandlungen der Bundesanwaltschaft bei der Beschwerdekammer des Bundesstrafgerichts innert 10 Tagen Be- schwerde erhoben werden kann (Art. 393 Abs. 1 lit. a StPO i.V.m. Art. 37 Abs. 1 StBOG);</w:t>
      </w:r>
    </w:p>
    <w:p>
      <w:r>
        <w:t>- zur Beschwerde jede Partei oder jeder andere Verfahrensbeteiligte berech- tigt ist, welche oder welcher ein rechtlich geschütztes Interesse an der Auf- hebung oder Änderung des angefochtenen Entscheides haben (Art. 382 Abs. 1 StPO);</w:t>
      </w:r>
    </w:p>
    <w:p>
      <w:r>
        <w:t>- ein derartiges (und aktuelles) Interesse im Falle von anlässlich einer Haus- durchsuchung sichergestellten Dateien und Dokumenten, die im Sinne von Art. 246 StPO versiegelt worden sind, nicht gegeben ist, da die Interessen</w:t>
      </w:r>
    </w:p>
    <w:p>
      <w:r>
        <w:t>der Betroffenen durch die Siegelung – die verhindert, dass Aufzeichnungen von der Staatsanwaltschaft eingesehen und verwendet werden dürfen –, ge- schützt sind (Beschlüsse der Beschwerdekammer BB.2014.150 vom 4. Mai 2015, E. 2.2; BB.2014.1-2 vom 10. Juli 2014, E. 1.3; BB.2013.157- 159 vom 3. März 2014, E. 1.3);</w:t>
      </w:r>
    </w:p>
    <w:p>
      <w:r>
        <w:t>- die von der angefochtenen Durchsuchungs- und Sicherstellungsverfügung vom 12. Dezember 2016 betroffenen Dateien und Datenträger versiegelt worden sind und seit dem 13. Dezember 2016 beim kantonalen Zwangs- massnahmengericht des Kantons Bern ein Entsiegelungsverfahren hängig ist (vgl. act. 1.2, S. 3; act. 18);</w:t>
      </w:r>
    </w:p>
    <w:p>
      <w:r>
        <w:t>- der Beschwerdeführer daher seine Einwendungen im Entsiegelungsverfah- ren wird geltend machen können;</w:t>
      </w:r>
    </w:p>
    <w:p>
      <w:r>
        <w:t>- dabei dem Entsiegelungsrichter umfassende Kognition zukommt, sodass ge- gen die Zulässigkeit der Durchsuchung nebst allfälligen Aussage- und Zeug- nisverweigerungsrechten auch das Fehlen eines hinreichenden Tatver- dachts oder der Wahrscheinlichkeit der Beweistauglichkeit wird geltend ge- macht werden können;</w:t>
      </w:r>
    </w:p>
    <w:p>
      <w:r>
        <w:t>- folglich mangels aktuellen Rechtsschutzinteressens auf die vorliegende Be- schwerde nicht einzutreten ist;</w:t>
      </w:r>
    </w:p>
    <w:p>
      <w:r>
        <w:t>- im Übrigen die Beschwerde – soweit damit auch der Hausdurchsuchungs- befehl vom 23. November 2016 angefochten werden soll – ohnehin verspätet eingereicht worden wäre;</w:t>
      </w:r>
    </w:p>
    <w:p>
      <w:r>
        <w:t>- bei diesem Ausgang der Beschwerdeführer die Gerichtskosten zu tragen hat (Art. 428 Abs. 1 StPO), wobei die Gerichtsgebühr auf Fr. 500.-- festzusetzen ist (Art. 73 StBOG i.V.m. Art. 5 und 8 Abs. 1 BStKR).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