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BB.2016.370 vom 4. April 2017</w:t>
      </w:r>
    </w:p>
    <w:p>
      <w:r>
        <w:t>Bundesstrafgericht, 2017-04-04, DE</w:t>
      </w:r>
    </w:p>
    <w:p>
      <w:r>
        <w:rPr>
          <w:b/>
        </w:rPr>
        <w:t xml:space="preserve">Quelle: </w:t>
      </w:r>
      <w:r>
        <w:t>https://mcp.opencaselaw.ch/entscheid/bstger_BB.2016.370</w:t>
      </w:r>
    </w:p>
    <w:p>
      <w:r>
        <w:t>FR: TPF BB.2016.370 du 4 avril 2017</w:t>
      </w:r>
    </w:p>
    <w:p>
      <w:r>
        <w:t>IT: TPF BB.2016.370 del 4 aprile 2017</w:t>
      </w:r>
    </w:p>
    <w:p>
      <w:pPr>
        <w:pStyle w:val="Heading2"/>
      </w:pPr>
      <w:r>
        <w:t>Regeste</w:t>
      </w:r>
    </w:p>
    <w:p>
      <w:r>
        <w:t>Entschädigung der amtlichen Verteidigung (Art. 135 Abs. 3 StPO).</w:t>
      </w:r>
    </w:p>
    <w:p>
      <w:pPr>
        <w:pStyle w:val="Heading2"/>
      </w:pPr>
      <w:r>
        <w:t>Erwägungen</w:t>
      </w:r>
    </w:p>
    <w:p>
      <w:r>
        <w:rPr>
          <w:b/>
        </w:rPr>
        <w:t>E. 31</w:t>
      </w:r>
    </w:p>
    <w:p>
      <w:r>
        <w:t>August 2010 über Kosten, Gebühren und Entschädigungen in Bundes- strafverfahren [BStKR; SR 173.713.162]);</w:t>
      </w:r>
    </w:p>
    <w:p>
      <w:r>
        <w:t>- 4 -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