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BB.2016.360 vom 9. November 2016</w:t>
      </w:r>
    </w:p>
    <w:p>
      <w:r>
        <w:t>Bundesstrafgericht, 2016-11-09, DE</w:t>
      </w:r>
    </w:p>
    <w:p>
      <w:r>
        <w:rPr>
          <w:b/>
        </w:rPr>
        <w:t xml:space="preserve">Quelle: </w:t>
      </w:r>
      <w:r>
        <w:t>https://mcp.opencaselaw.ch/entscheid/bstger_BB.2016.360</w:t>
      </w:r>
    </w:p>
    <w:p>
      <w:r>
        <w:t>FR: TPF BB.2016.360 du 9 novembre 2016</w:t>
      </w:r>
    </w:p>
    <w:p>
      <w:r>
        <w:t>IT: TPF BB.2016.360 del 9 novembre 2016</w:t>
      </w:r>
    </w:p>
    <w:p>
      <w:pPr>
        <w:pStyle w:val="Heading2"/>
      </w:pPr>
      <w:r>
        <w:t>Regeste</w:t>
      </w:r>
    </w:p>
    <w:p>
      <w:r>
        <w:t>Nichtanhandnahmeverfügung (Art. 310 i.V.m. Art. 322 Abs. 2 StPO).</w:t>
      </w:r>
    </w:p>
    <w:p>
      <w:pPr>
        <w:pStyle w:val="Heading2"/>
      </w:pPr>
      <w:r>
        <w:t>Erwägungen</w:t>
      </w:r>
    </w:p>
    <w:p>
      <w:r>
        <w:rPr>
          <w:b/>
        </w:rPr>
        <w:t>E. 1.1</w:t>
      </w:r>
    </w:p>
    <w:p>
      <w:r>
        <w:t>Gegen eine Nichtanhandnahmeverfügung der Bundesanwaltschaft ist die Beschwerde nach den Vorschriften der Art. 393 ff. StPO an die Beschwer- dekammer des Bundesstrafgerichts zulässig (Art. 310 Abs. 2 i.V.m. Art. 322 Abs. 2 StPO und Art. 37 Abs. 1 StBOG). Zur Beschwerde legitimiert sind die Parteien, sofern sie ein rechtlich geschütztes Interesse an der Aufhebung oder Änderung des angefochtenen Entscheides haben (Art. 310 Abs. 2 i.V.m. Art. 322 Abs. 2 und Art. 382 Abs. 1 StPO). Die geschädigte Person ist somit grundsätzlich nur insoweit zur Beschwerde legitimiert, als sie sich im Sinne der Art. 118 f. StPO als Privatklägerschaft konstituiert hat bzw. als sie – was gerade bei der Nichtanhandnahmeverfügung der Fall sein kann – noch keine Gelegenheit hatte, sich als Privatklägerschaft zu konstituieren (vgl. hierzu u. a. den Beschluss des Bundesstrafgerichts BB.2016.24 vom 7. Juni 2016, E. 1.2 m.w.H.). Als geschädigte Person gilt die Person, die durch die Straftat in ihren Rechten unmittelbar verletzt worden ist (Art. 115 Abs. 1 StPO).</w:t>
      </w:r>
    </w:p>
    <w:p>
      <w:r>
        <w:rPr>
          <w:b/>
        </w:rPr>
        <w:t>E. 1.2</w:t>
      </w:r>
    </w:p>
    <w:p>
      <w:r>
        <w:t>Der Strafanzeige der Beschwerdeführerin, welche der angefochtenen Nicht- anhandnahmeverfügung vom 5. Oktober 2016 zu Grunde liegt, kann nicht entnommen werden, inwiefern sich der Angezeigte C. konkret eines strafba- ren Verhaltens schuldig gemacht haben soll. Diesbezüglich kann der Ein- gabe lediglich entnommen werden, die Beschwerdeführerin sehe in ihm ei- nen der bzw. den Drahtzieher in einer Angelegenheit, zu deren Aufdeckung sie nicht fähig sei. Sie gehe davon aus, C. sei nur ein Glied in einer mindes- tens schweizweit angelegten Finanzsache. Wieviel Betrug und Verbrechen dahinterstecke, könne sie nicht ermessen. Auch aufgrund der bereits zuvor bei der Beschwerdegegnerin eingereichten Eingaben lässt sich nicht erken- nen, welche konkreten Straftaten C. zur Last gelegt werden. Dementspre- chend ist auch nicht nachvollziehbar dargetan, inwiefern die Beschwerde- führerin im Sinne von Art. 115 Abs. 1 StPO durch irgendwelche Straftaten</w:t>
      </w:r>
    </w:p>
    <w:p>
      <w:r>
        <w:t>- 4 -</w:t>
      </w:r>
    </w:p>
    <w:p>
      <w:r>
        <w:t>unmittelbar in ihren Rechten verletzt worden sein soll. Handelt es sich bei der Beschwerdeführerin weder um eine geschädigte Person noch um eine Privatklägerin, so ist sie nicht zur Beschwerdeführung gegen die Nichtan- handnahmeverfügung betreffend C. legitimiert (ausdrücklich in Art. 301 Abs. 3 StPO). Das Vorgehen der Beschwerdegegnerin ihr als nicht zur Straf- klage legitimierte Person gegenüber ist damit nicht zu beanstanden.</w:t>
      </w:r>
    </w:p>
    <w:p>
      <w:r>
        <w:rPr>
          <w:b/>
        </w:rPr>
        <w:t>E. 2</w:t>
      </w:r>
    </w:p>
    <w:p>
      <w:r>
        <w:t>Unklar ist, ob die Beschwerdeführerin mit ihrer Eingabe vom 18. Okto- ber 2016 (act. 5) sinngemäss auch gegen die Nichtanhandnahmeverfügung betreffend D. bei der Beschwerdekammer Beschwerde führen will. Falls dem überhaupt so ist, so gelten die oben stehenden Erwägungen sinngemäss auch für diese Strafanzeige bzw. für die gegen die Nichtanhandnahmeverfü- gung gerichtete Beschwerde.</w:t>
      </w:r>
    </w:p>
    <w:p>
      <w:r>
        <w:rPr>
          <w:b/>
        </w:rPr>
        <w:t>E. 3</w:t>
      </w:r>
    </w:p>
    <w:p>
      <w:r>
        <w:t>Die Beschwerde erweist sich nach dem Gesagten als offensichtlich unzuläs- sig, weshalb auf diese ohne weiteren Schriftenwechsel nicht einzutreten ist (Art. 390 Abs. 2 StPO e contrario).</w:t>
      </w:r>
    </w:p>
    <w:p>
      <w:r>
        <w:rPr>
          <w:b/>
        </w:rPr>
        <w:t>E. 4</w:t>
      </w:r>
    </w:p>
    <w:p>
      <w:r>
        <w:t>Bei diesem Ausgang des Verfahrens hat grundsätzlich die Beschwerdefüh- rerin dessen Kosten zu tragen (Art. 428 Abs. 1 StPO). Vorliegend ist jedoch ausnahmsweise auf die Erhebung einer Gerichtsgebühr zu verzichten (Art. 73 Abs. 2 StBOG und Art. 5 des Reglements des Bundesstrafgerichts vom 31. August 2010 über die Kosten, Gebühren und Entschädigungen in Bundesstrafverfahren [BStKR; SR 173.713.162]).</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