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BB.2016.319 vom 28. Juli 2016</w:t>
      </w:r>
    </w:p>
    <w:p>
      <w:r>
        <w:t>Bundesstrafgericht, 2016-07-28, DE</w:t>
      </w:r>
    </w:p>
    <w:p>
      <w:r>
        <w:rPr>
          <w:b/>
        </w:rPr>
        <w:t xml:space="preserve">Quelle: </w:t>
      </w:r>
      <w:r>
        <w:t>https://mcp.opencaselaw.ch/entscheid/bstger_BB.2016.319</w:t>
      </w:r>
    </w:p>
    <w:p>
      <w:r>
        <w:t>FR: TPF BB.2016.319 du 28 juillet 2016</w:t>
      </w:r>
    </w:p>
    <w:p>
      <w:r>
        <w:t>IT: TPF BB.2016.319 del 28 luglio 2016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Juni 2016, S. 3);</w:t>
      </w:r>
    </w:p>
    <w:p>
      <w:r>
        <w:t>- die Beschwerdegegnerin die Nichtanhandnahmeverfügung somit zu Recht erlassen hat;</w:t>
      </w:r>
    </w:p>
    <w:p>
      <w:r>
        <w:t>- 3 -</w:t>
      </w:r>
    </w:p>
    <w:p>
      <w:r>
        <w:t>- sich die Beschwerde als offensichtlich unzulässig im Sinne von Art. 390 Abs. 2 StPO erweist, weswegen die Beschwerdekammer des Bundesstraf- gerichts auf einen Schriftenwechsel verzichtet;</w:t>
      </w:r>
    </w:p>
    <w:p>
      <w:r>
        <w:t>- bei diesem Ausgang des Verfahrens der Beschwerdeführer die Gerichtskos- ten zu tragen hat, wobei die Gerichtsgebühr auf Fr. 200.-- festzusetzen ist (Art. 73 StBOG i.V.m. Art. 5 und Art. 8 Abs. 1 des Reglements des Bun- desstrafgerichts vom 31. August 2010 über die Kosten, Gebühren und Ent- schädigungen in Bundesstrafverfahren [BStKR; SR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