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BB.2016.287 vom 19. Juli 2016</w:t>
      </w:r>
    </w:p>
    <w:p>
      <w:r>
        <w:t>Bundesstrafgericht, 2016-07-19, DE</w:t>
      </w:r>
    </w:p>
    <w:p>
      <w:r>
        <w:rPr>
          <w:b/>
        </w:rPr>
        <w:t xml:space="preserve">Quelle: </w:t>
      </w:r>
      <w:r>
        <w:t>https://mcp.opencaselaw.ch/entscheid/bstger_BB.2016.287</w:t>
      </w:r>
    </w:p>
    <w:p>
      <w:r>
        <w:t>FR: TPF BB.2016.287 du 19 juillet 2016</w:t>
      </w:r>
    </w:p>
    <w:p>
      <w:r>
        <w:t>IT: TPF BB.2016.287 del 19 luglio 2016</w:t>
      </w:r>
    </w:p>
    <w:p>
      <w:pPr>
        <w:pStyle w:val="Heading2"/>
      </w:pPr>
      <w:r>
        <w:t>Regeste</w:t>
      </w:r>
    </w:p>
    <w:p>
      <w:r>
        <w:t>Entschädigung der amtlichen Verteidigung (Art. 135 Abs. 3 StPO).</w:t>
      </w:r>
    </w:p>
    <w:p>
      <w:pPr>
        <w:pStyle w:val="Heading2"/>
      </w:pPr>
      <w:r>
        <w:t>Erwägungen</w:t>
      </w:r>
    </w:p>
    <w:p>
      <w:r>
        <w:rPr>
          <w:b/>
        </w:rPr>
        <w:t>E. 1</w:t>
      </w:r>
    </w:p>
    <w:p>
      <w:r>
        <w:t>Die Beschwerdeführerin ficht mit ihrer Beschwerde die von der Vorinstanz mit vom Urteil im Berufungsverfahren separatem Beschluss festgelegte Ent- schädigung der amtlichen Verteidigung im Rahmen des kantonalen Beru- fungsverfahrens an.</w:t>
      </w:r>
    </w:p>
    <w:p>
      <w:r>
        <w:t>- 3 -</w:t>
      </w:r>
    </w:p>
    <w:p>
      <w:r>
        <w:rPr>
          <w:b/>
        </w:rPr>
        <w:t>E. 2.1</w:t>
      </w:r>
    </w:p>
    <w:p>
      <w:r>
        <w:t>Zur Beschwerde (nach den Bestimmungen der StPO) gegen den Entschädi- gungsentscheid im Sinne von Art. 135 Abs. 3 StPO ist alleine die amtliche Verteidigung selbst legitimiert (Urteile des Bundesgerichts 6B_919/2015 vom 11. Dezember 2015, E. 4; 6B_586/2013 vom 1. Mai 2014, E. 3.4). Dem- zufolge muss die Staatsanwaltschaft beispielsweise die Reduktion einer mit Urteil eines erstinstanzlichen Gerichts festgelegten Entschädigung für die amtliche Verteidigung im Berufungs- und nicht im Beschwerdeverfahren nach StPO verlangen (BGE 140 IV 213 E. 1.4 S. 215; 139 IV 199 E. 5.2).</w:t>
      </w:r>
    </w:p>
    <w:p>
      <w:r>
        <w:rPr>
          <w:b/>
        </w:rPr>
        <w:t>E. 2.2</w:t>
      </w:r>
    </w:p>
    <w:p>
      <w:r>
        <w:t>Zur Beschwerde in Strafsachen gemäss Art. 81 Abs. 1 des Bundesgesetzes vom 17. Juni 2005 über das Bundesgericht (Bundesgerichtsgesetz, BGG; SR 173.110) ist berechtigt, wer vor der Vorinstanz am Verfahren teilgenom- men oder keine Möglichkeit zur Teilnahme erhalten hat (lit. a) und ein recht- lich geschütztes Interesse an der Aufhebung oder Änderung des angefoch- tenen Entscheids hat (lit. b). Die Beschwerdeführerin hat ein rechtlich ge- schütztes Interesse (Art. 81 Abs. 1 lit. b Ziff. 3 BGG) und ihr steht das Be- schwerderecht in Strafsachen ohne Einschränkung zu. Sie kann namentlich auch die Höhe der Entschädigung der amtlichen Verteidigung anfechten (BGE 139 IV 199 E. 2 S. 201 und E. 4; Urteil des Bundesgerichts 6B_1045/2014 vom 19. Mai 2015, E. 2.5).</w:t>
      </w:r>
    </w:p>
    <w:p>
      <w:r>
        <w:rPr>
          <w:b/>
        </w:rPr>
        <w:t>E. 3</w:t>
      </w:r>
    </w:p>
    <w:p>
      <w:r>
        <w:t>Gesteht Art. 135 Abs. 3 StPO das Beschwerderecht nur der amtlichen Ver- teidigung selbst zu, nicht aber den übrigen Parteien, und steht der Beschwer- deführerin gegen den angefochtenen Entscheid die Beschwerde in Strafsa- chen gemäss Art. 81 ff. BGG zu, ist auf die vorliegende Beschwerde nicht einzutreten. Die Vorinstanz kann nicht auf den Rechtsmittelweg Einfluss nehmen, indem sie über zwingende Nebenfolgen des Strafurteils in einem separaten Entscheid befindet (BGE 139 IV 199 E. 5.4 S. 204). Die Sache ist zuständigkeitshalber dem Bundesgericht zu überweisen.</w:t>
      </w:r>
    </w:p>
    <w:p>
      <w:r>
        <w:rPr>
          <w:b/>
        </w:rPr>
        <w:t>E. 4</w:t>
      </w:r>
    </w:p>
    <w:p>
      <w:r>
        <w:t>Es ist keine Gerichtsgebühr zu erheben (Art. 423 Abs. 1 StPO).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