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BB.2016.27 vom 22. Februar 2016</w:t>
      </w:r>
    </w:p>
    <w:p>
      <w:r>
        <w:t>Bundesstrafgericht, 2016-02-22, FR</w:t>
      </w:r>
    </w:p>
    <w:p>
      <w:r>
        <w:rPr>
          <w:b/>
        </w:rPr>
        <w:t xml:space="preserve">Quelle: </w:t>
      </w:r>
      <w:r>
        <w:t>https://mcp.opencaselaw.ch/entscheid/bstger_BB.2016.27</w:t>
      </w:r>
    </w:p>
    <w:p>
      <w:r>
        <w:t>FR: TPF BB.2016.27 du 22 février 2016</w:t>
      </w:r>
    </w:p>
    <w:p>
      <w:r>
        <w:t>IT: TPF BB.2016.27 del 22 febbraio 2016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Volltext</w:t>
      </w:r>
    </w:p>
    <w:p>
      <w:r>
        <w:t>Décision du 22 février 2016 Cour des plaintes Composition</w:t>
      </w:r>
    </w:p>
    <w:p>
      <w:r>
        <w:t>Les juges pénaux fédéraux Stephan Blättler, président, Tito Ponti et Patrick Robert-Nicoud, le greffier David Bouverat</w:t>
      </w:r>
    </w:p>
    <w:p>
      <w:r>
        <w:t>Parties</w:t>
      </w:r>
    </w:p>
    <w:p>
      <w:r>
        <w:t>A. AG EN LIQUIDATION, recourante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Ordonnance de non-entrée en matière (art. 310 en lien avec l'art. 322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BB.2016.27</w:t>
      </w:r>
    </w:p>
    <w:p>
      <w:r>
        <w:t>- 2 -</w:t>
      </w:r>
    </w:p>
    <w:p>
      <w:r>
        <w:t>La Cour des plaintes, vu:</w:t>
      </w:r>
    </w:p>
    <w:p>
      <w:r>
        <w:t>- l'ordonnance de non-entrée en matière rendue le 18 janvier 2016 par le procureur fédéral extraordinaire B. à la suite du dépôt de deux plaintes pénales par A. AG en liquidation contre les procureurs fédéraux C. et D.,</w:t>
      </w:r>
    </w:p>
    <w:p>
      <w:r>
        <w:t>- le mémoire de recours du 1er février 2016, par lequel E. défère au nom de la société précitée ladite ordonnance devant la Cour des plaintes,</w:t>
      </w:r>
    </w:p>
    <w:p>
      <w:r>
        <w:t>et considérant:</w:t>
      </w:r>
    </w:p>
    <w:p>
      <w:r>
        <w:t>que l'autorité de céans examine d'office la recevabilité des recours qui lui sont adressés (cf. ATF 122 IV 188 consid. 1 et les arrêts cités);</w:t>
      </w:r>
    </w:p>
    <w:p>
      <w:r>
        <w:t>que, selon l'art. 390 al. 2 CPP a contrario, un recours manifestement irrecevable ou mal fondé peut être traité sans échange d'écritures;</w:t>
      </w:r>
    </w:p>
    <w:p>
      <w:r>
        <w:t>que tel est le cas en l'espèce;</w:t>
      </w:r>
    </w:p>
    <w:p>
      <w:r>
        <w:t>qu'effectivement E. ne dispose pas du droit de signature lui permettant d'engager la recourante selon le registre du commerce du canton de Zurich, où est sise cette dernière;</w:t>
      </w:r>
    </w:p>
    <w:p>
      <w:r>
        <w:t>que le prénommé ne peut donc pas représenter la recourante en matière civile;</w:t>
      </w:r>
    </w:p>
    <w:p>
      <w:r>
        <w:t>qu'il ne peut pas non plus le faire dans le cadre d'une procédure pénale (cf. art. 112 al. 1 CPP par analogie);</w:t>
      </w:r>
    </w:p>
    <w:p>
      <w:r>
        <w:t>que pour ce motif, le recours doit être déclaré irrecevable;</w:t>
      </w:r>
    </w:p>
    <w:p>
      <w:r>
        <w:t>que, vu les circonstances, il est statué sans frais,</w:t>
      </w:r>
    </w:p>
    <w:p>
      <w:r>
        <w:t>- 3 -</w:t>
      </w:r>
    </w:p>
    <w:p>
      <w:r>
        <w:t>Par ces motifs, la Cour des plaintes prononce:</w:t>
      </w:r>
    </w:p>
    <w:p>
      <w:r>
        <w:t>1. Le recours est irrecevable.</w:t>
      </w:r>
    </w:p>
    <w:p>
      <w:r>
        <w:t>2. La présente décision est rendue sans frais.</w:t>
      </w:r>
    </w:p>
    <w:p>
      <w:r>
        <w:t>Bellinzone, le 24 février 2016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F. AG, liquidateur de A. AG en liquidation - B. - E.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