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BB.2016.259 vom 26. Juli 2016</w:t>
      </w:r>
    </w:p>
    <w:p>
      <w:r>
        <w:t>Bundesstrafgericht, 2016-07-26, DE</w:t>
      </w:r>
    </w:p>
    <w:p>
      <w:r>
        <w:rPr>
          <w:b/>
        </w:rPr>
        <w:t xml:space="preserve">Quelle: </w:t>
      </w:r>
      <w:r>
        <w:t>https://mcp.opencaselaw.ch/entscheid/bstger_BB.2016.259</w:t>
      </w:r>
    </w:p>
    <w:p>
      <w:r>
        <w:t>FR: TPF BB.2016.259 du 26 juillet 2016</w:t>
      </w:r>
    </w:p>
    <w:p>
      <w:r>
        <w:t>IT: TPF BB.2016.259 del 26 luglio 2016</w:t>
      </w:r>
    </w:p>
    <w:p>
      <w:pPr>
        <w:pStyle w:val="Heading2"/>
      </w:pPr>
      <w:r>
        <w:t>Regeste</w:t>
      </w:r>
    </w:p>
    <w:p>
      <w:r>
        <w:t>Beschlagnahme (Art. 263 ff. StPO). Aufschiebende Wirkung (Art. 387 StPO).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Aufl., Basel 2014, Art. 386 StPO N. 4);</w:t>
      </w:r>
    </w:p>
    <w:p>
      <w:r>
        <w:t>- 3 -</w:t>
      </w:r>
    </w:p>
    <w:p>
      <w:r>
        <w:t>- das Gesuchsverfahren betreffend aufschiebende Wirkung bei diesem Aus- gang des Verfahrens zufolge Gegenstandslosigkeit als erledigt abzuschrei- ben ist;</w:t>
      </w:r>
    </w:p>
    <w:p>
      <w:r>
        <w:t>- bei diesem Ausgang des Verfahrens die Beschwerdeführerin dessen Kosten zu tragen hat (Art. 428 Abs. 1 StPO);</w:t>
      </w:r>
    </w:p>
    <w:p>
      <w:r>
        <w:t>- diese vorliegend festzusetzen sind auf Fr. 500.– (Art. 73 StBOG und Art. 5 und 8 Abs. 1 des Reglements des Bundesstrafgerichts vom 31. August 2010 über die Kosten, Gebühren und Entschädigungen in Bundesstrafverfahren [BStKR; SR 173.713.162]);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