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BB.2016.254 vom 10. August 2016</w:t>
      </w:r>
    </w:p>
    <w:p>
      <w:r>
        <w:t>Bundesstrafgericht, 2016-08-10, DE</w:t>
      </w:r>
    </w:p>
    <w:p>
      <w:r>
        <w:rPr>
          <w:b/>
        </w:rPr>
        <w:t xml:space="preserve">Quelle: </w:t>
      </w:r>
      <w:r>
        <w:t>https://mcp.opencaselaw.ch/entscheid/bstger_BB.2016.254</w:t>
      </w:r>
    </w:p>
    <w:p>
      <w:r>
        <w:t>FR: TPF BB.2016.254 du 10 août 2016</w:t>
      </w:r>
    </w:p>
    <w:p>
      <w:r>
        <w:t>IT: TPF BB.2016.254 del 10 agosto 2016</w:t>
      </w:r>
    </w:p>
    <w:p>
      <w:pPr>
        <w:pStyle w:val="Heading2"/>
      </w:pPr>
      <w:r>
        <w:t>Regeste</w:t>
      </w:r>
    </w:p>
    <w:p>
      <w:r>
        <w:t>Rechtsverweigerung (Art. 393 Abs. 2 lit. a StPO).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November 2012, BB.2011.122 vom 14. November 2011);</w:t>
      </w:r>
    </w:p>
    <w:p>
      <w:r>
        <w:t>- vorliegend die Beschwerdegegnerin die Gegenstandslosigkeit des Be- schwerdeverfahrens zu vertreten hat und damit grundsätzlich kosten- und entschädigungspflichtig wird;</w:t>
      </w:r>
    </w:p>
    <w:p>
      <w:r>
        <w:t>- die Gerichtskosten somit auf die Staatskasse zu nehmen sind (Art. 423 Abs. 1 StPO);</w:t>
      </w:r>
    </w:p>
    <w:p>
      <w:r>
        <w:t>- eine Entschädigung an die Beschwerdeführerin nicht auszurichten ist, da im Anwendungsbereich von Art. 436 Abs.1 StPO die Privatklägerschaft Ent- schädigungsansprüche für das Beschwerdeverfahren nur gegenüber der be- schuldigten Person und nicht gegenüber dem Staat geltend machen kann (Art. 433 Abs. 1 StPO).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