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BB.2016.251 vom 14. Juli 2016</w:t>
      </w:r>
    </w:p>
    <w:p>
      <w:r>
        <w:t>Bundesstrafgericht, 2016-07-14, DE</w:t>
      </w:r>
    </w:p>
    <w:p>
      <w:r>
        <w:rPr>
          <w:b/>
        </w:rPr>
        <w:t xml:space="preserve">Quelle: </w:t>
      </w:r>
      <w:r>
        <w:t>https://mcp.opencaselaw.ch/entscheid/bstger_BB.2016.251</w:t>
      </w:r>
    </w:p>
    <w:p>
      <w:r>
        <w:t>FR: TPF BB.2016.251 du 14 juillet 2016</w:t>
      </w:r>
    </w:p>
    <w:p>
      <w:r>
        <w:t>IT: TPF BB.2016.251 del 14 luglio 2016</w:t>
      </w:r>
    </w:p>
    <w:p>
      <w:pPr>
        <w:pStyle w:val="Heading2"/>
      </w:pPr>
      <w:r>
        <w:t>Regeste</w:t>
      </w:r>
    </w:p>
    <w:p>
      <w:r>
        <w:t>Entschädigung der amtlichen Verteidigung (Art. 135 Abs. 3 StPO).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Aufl., Basel 2014, Art. 386 StPO N. 4);</w:t>
      </w:r>
    </w:p>
    <w:p>
      <w:r>
        <w:t>- die Beschwerdegegnerin darauf hinzuweisen ist, ihre Rechtsmittelbelehrung für Fälle dieser Art an die eingangs erwähnten Bestimmungen anzupassen;</w:t>
      </w:r>
    </w:p>
    <w:p>
      <w:r>
        <w:t>- vorliegend von der Erhebung einer Gerichtsgebühr abzusehen ist (Art. 3 Abs. 2 lit. a StPO; siehe hierzu BGE 140 IV 74 E. 4.2);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