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BB.2016.11 vom 24. Februar 2016</w:t>
      </w:r>
    </w:p>
    <w:p>
      <w:r>
        <w:t>Bundesstrafgericht, 2016-02-24, FR</w:t>
      </w:r>
    </w:p>
    <w:p>
      <w:r>
        <w:rPr>
          <w:b/>
        </w:rPr>
        <w:t xml:space="preserve">Quelle: </w:t>
      </w:r>
      <w:r>
        <w:t>https://mcp.opencaselaw.ch/entscheid/bstger_BB.2016.11</w:t>
      </w:r>
    </w:p>
    <w:p>
      <w:r>
        <w:t>FR: TPF BB.2016.11 du 24 février 2016</w:t>
      </w:r>
    </w:p>
    <w:p>
      <w:r>
        <w:t>IT: TPF BB.2016.11 del 24 febbraio 2016</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t>- 3 -</w:t>
      </w:r>
    </w:p>
    <w:p>
      <w:r>
        <w:rPr>
          <w:b/>
        </w:rPr>
        <w:t>E. 1.2</w:t>
      </w:r>
    </w:p>
    <w:p>
      <w:r>
        <w:t>Défenseur d'office au cours de l'instance précédente, le recourant a qualité pour contester le jugement entrepris, en vertu de l'art. 135 al. 3 let. b CPP.</w:t>
      </w:r>
    </w:p>
    <w:p>
      <w:r>
        <w:rPr>
          <w:b/>
        </w:rPr>
        <w:t>E. 1.3</w:t>
      </w:r>
    </w:p>
    <w:p>
      <w:r>
        <w:t>Le délai pour déposer le recours n'étant pas précisé par l'art. 135 CPP, c'est celui ordinaire de 10 jours dès la notification de la décision (art. 396 al. 1 et 384 CPP) qui s'applique (HARARI/ALIBERTI, Commentaire romand, n° 33 ad art. 135 CPP). Les considérants de l'acte attaqué ayant été notifiés au plus tôt le 24 novembre 2015 le recours, formé le 4 décembre suivant, l'a été en temps utile.</w:t>
      </w:r>
    </w:p>
    <w:p>
      <w:r>
        <w:rPr>
          <w:b/>
        </w:rPr>
        <w:t>E. 2.1</w:t>
      </w:r>
    </w:p>
    <w:p>
      <w:r>
        <w:t>Le recourant se plaint en substance d'une violation de l'art. 135 CPP. Selon lui, la réduction de ses heures de travail à laquelle a procédé la cour d'appel est injustifiée.</w:t>
      </w:r>
    </w:p>
    <w:p>
      <w:r>
        <w:rPr>
          <w:b/>
        </w:rPr>
        <w:t>E. 2.2</w:t>
      </w:r>
    </w:p>
    <w:p>
      <w:r>
        <w:t>Lorsque le défenseur d'office produit, comme en l'espèce, une liste détaillée de son activité, l'autorité compétente qui s'en écarte a l'obligation, tirée du droit d'être entendu, d'exposer clairement, fût-ce brièvement, quels postes elle considère comme exagérés et pour quels motifs (arrêt du Tribunal fédéral 6B_136/2009 du 12 mai 2009, consid. 2.3, [rendu dans le cadre de procédures fédérales menées en application de la PPF] et les références citées; RUCKSTUHL, Commentaire bâlois, Schweizerischen Strafprozessordnung [StPO], 2e éd., Bâle 2014, n° 18 ad art. 135).</w:t>
      </w:r>
    </w:p>
    <w:p>
      <w:r>
        <w:rPr>
          <w:b/>
        </w:rPr>
        <w:t>E. 2.3</w:t>
      </w:r>
    </w:p>
    <w:p>
      <w:r>
        <w:t>Dans l'acte entrepris, la cour d'appel s'est exprimée comme suit sur l'indemnité due au recourant: "[l]e défenseur a […] droit à une indemnité d'office pour la procédure d'appel. Compte tenu de la nature de l'affaire et du travail occasionné par la procédure de seconde instance, il convient de lui allouer 5'043 fr. 60 à ce titre. Cette somme comprend, audience incluse, 25 heures de travail au tarif de l'avocat d'office breveté (180 fr.), une vacation à 120 fr., 50 fr. de débours et 8 % de TVA" (consid. 5.2). L'instance précédente n'a donc manifestement pas respecté les réquisits jurisprudentiels précités, puisque sa décision, faute d'être motivée, ne permet pas de comprendre le raisonnement de la cour d'appel.</w:t>
      </w:r>
    </w:p>
    <w:p>
      <w:r>
        <w:rPr>
          <w:b/>
        </w:rPr>
        <w:t>E. 3</w:t>
      </w:r>
    </w:p>
    <w:p>
      <w:r>
        <w:t>Il s'ensuit que le recours est bien fondé et que la cause doit être renvoyée à la cour d'appel pour nouvelle décision conforme aux réquisits jurisprudentiels en la matière (cf. supra consid. 2.2).</w:t>
      </w:r>
    </w:p>
    <w:p>
      <w:r>
        <w:t>- 4 -</w:t>
      </w:r>
    </w:p>
    <w:p>
      <w:r>
        <w:rPr>
          <w:b/>
        </w:rPr>
        <w:t>E. 4</w:t>
      </w:r>
    </w:p>
    <w:p>
      <w:r>
        <w:t>Compte tenu de l'issue de la procédure, les frais de la présente cause sont pris en charge par la Caisse de l'Etat (art. 428 al. 4 et 423 al. 1 CPP; Message du Conseil fédéral relatif au CPP, FF 2006 1057, p. 1310; GRIESSER, Kommentar StPO, n° 4 ad art. 428; SCHMID, Handbuch des schweizerischen Strafprozessrechts, 2e éd. Zurich 2013, n° 1777).</w:t>
      </w:r>
    </w:p>
    <w:p>
      <w:r>
        <w:rPr>
          <w:b/>
        </w:rPr>
        <w:t>E. 5</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RFPPF,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(TVA incluse) paraît équitable et sera mise à la charge de l'autorité intimée.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