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BB.2015.96 vom 25. Februar 2016</w:t>
      </w:r>
    </w:p>
    <w:p>
      <w:r>
        <w:t>Bundesstrafgericht, 2016-02-25, FR</w:t>
      </w:r>
    </w:p>
    <w:p>
      <w:r>
        <w:rPr>
          <w:b/>
        </w:rPr>
        <w:t xml:space="preserve">Quelle: </w:t>
      </w:r>
      <w:r>
        <w:t>https://mcp.opencaselaw.ch/entscheid/bstger_BB.2015.96</w:t>
      </w:r>
    </w:p>
    <w:p>
      <w:r>
        <w:t>FR: TPF BB.2015.96 du 25 février 2016</w:t>
      </w:r>
    </w:p>
    <w:p>
      <w:r>
        <w:t>IT: TPF BB.2015.96 del 25 febbraio 2016</w:t>
      </w:r>
    </w:p>
    <w:p>
      <w:pPr>
        <w:pStyle w:val="Heading2"/>
      </w:pPr>
      <w:r>
        <w:t>Regeste</w:t>
      </w:r>
    </w:p>
    <w:p>
      <w:r>
        <w:t>Actes de procédure du Ministère public de la Confédération (art. 20 al. 1 let. b en lien avec l'art. 393 al. 1 let. a CPP). Obligation de garder le secret (art. 73 al. 2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références citées).</w:t>
      </w:r>
    </w:p>
    <w:p>
      <w:r>
        <w:rPr>
          <w:b/>
        </w:rPr>
        <w:t>E. 1.2</w:t>
      </w:r>
    </w:p>
    <w:p>
      <w:r>
        <w:t>Les décisions du MPC, et notamment celles rendues sur la base de l'art. 73 al. 2 CPP, peuvent faire l'objet d'un recours devant la Cour de céans (art. 393 al. 1 let. a CPP et 37 al. 1 LOAP en lien avec l'art. 19 al. 1 du règlement sur l'organisation du Tribunal pénal fédéral [ROTPF; RS 173.713.161]; SCHMID, Schweizerische Strafprozessordnung, Praxiskommentar, 2e éd. 2013, no 10 ad art. 73; SAXER/THURNHEER, in Basler Kommentar, Schweizerische Strafprozessordnung, 2e éd. 2014, no 19 ad art. 73).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En l'espèce, la décision entreprise fait interdiction à la recourante, dénonciatrice, de communiquer quelque élément que ce soit en rapport avec la procédure SV.13-…. Elle limite ce faisant sa liberté d'expression (art. 19 Cst.) et la recourante dispose partant d'un intérêt juridique à faire valoir cette dernière devant l'autorité de recours.</w:t>
      </w:r>
    </w:p>
    <w:p>
      <w:r>
        <w:rPr>
          <w:b/>
        </w:rPr>
        <w:t>E. 1.4</w:t>
      </w:r>
    </w:p>
    <w:p>
      <w:r>
        <w:t>Au surplus, interjeté le 25 septembre 2015, le présent recours a été déposé dans le délai de dix jours dès la notification du prononcé attaqué (art. 90 al. 2 CPP).</w:t>
      </w:r>
    </w:p>
    <w:p>
      <w:r>
        <w:t>- 4 -</w:t>
      </w:r>
    </w:p>
    <w:p>
      <w:r>
        <w:t>Le recours est partant recevable.</w:t>
      </w:r>
    </w:p>
    <w:p>
      <w:r>
        <w:rPr>
          <w:b/>
        </w:rPr>
        <w:t>E. 2</w:t>
      </w:r>
    </w:p>
    <w:p>
      <w:r>
        <w:t>Du point de vue formel, bien que le grief n'ait pas été formulé de manière explicite, la recourante se plaint d'abord de la violation de son droit d'être entendue et ce sous l'angle du droit à une décision motivée. Elle fait valoir à cet égard que l'autorité "n'a […] donné [aucun motif] pour justifier l'interdiction qui [la] touche" (act. 1, p. 7).</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2.2</w:t>
      </w:r>
    </w:p>
    <w:p>
      <w:r>
        <w:t>En l'espèce, l'acte attaqué ne contient aucune motivation. On ignore tout de la raison pour laquelle la recourante se voit imposer une telle interdiction. La seule mention que l'interdiction prononcée durera "jusqu'au terme de la première audition de B." n'est évidemment pas un motif susceptible de sous- tendre la mesure. Ainsi, le grief tiré du défaut de motivation de l’ordonnance querellée doit-il être admis. Cela étant, l'insuffisance de motivation peut toutefois se guérir devant l'autorité supérieure lorsque l'autorité intimée justifie sa décision et l'explique dans son mémoire de réponse, que la partie recourante a eu la possibilité de présenter un mémoire complémentaire pour prendre position sur les motifs contenus dans la réponse de l'autorité intimée et qu'il n'en résulte aucun préjudice pour la recourante (v. ATF 125 I 209 consid. 9a et les arrêts cités; décision du Tribunal pénal fédéral BB.2012.192 du 25 avril 2013, consid. 2.5 et arrêt du Tribunal pénal fédéral BB.2010.22 du 26 juillet 2010, consid. 2). Dès lors que le MPC a, en procédure de</w:t>
      </w:r>
    </w:p>
    <w:p>
      <w:r>
        <w:t>- 5 -</w:t>
      </w:r>
    </w:p>
    <w:p>
      <w:r>
        <w:t>recours, adressé une prise de position explicitant les motifs fondant, à son sens, la décision entreprise (act. 1.17), et au vu de l'échange d'écritures intervenu devant la Cour de céans – qui dispose du même pouvoir d'examen que l'autorité inférieure (art. 393 al. 2 CPP) –, force est de retenir que la recourante a eu la possibilité de s'exprimer librement en invoquant l'ensemble de ses arguments. Le vice a par conséquent été guéri dans le cadre de la présente procédure.</w:t>
      </w:r>
    </w:p>
    <w:p>
      <w:r>
        <w:rPr>
          <w:b/>
        </w:rPr>
        <w:t>E. 3</w:t>
      </w:r>
    </w:p>
    <w:p>
      <w:r>
        <w:t>La recourante estime que la décision entreprise violerait l'art. 73 al. 2 CPP, ce que conteste le MPC.</w:t>
      </w:r>
    </w:p>
    <w:p>
      <w:r>
        <w:rPr>
          <w:b/>
        </w:rPr>
        <w:t>E. 3.1</w:t>
      </w:r>
    </w:p>
    <w:p>
      <w:r>
        <w:t>Selon cette disposition,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pareille obligation devant être limitée dans le temps.</w:t>
      </w:r>
    </w:p>
    <w:p>
      <w:r>
        <w:t>La question de savoir si, comme le soutient la recourante en se fondant sur un avis – isolé – exprimé en doctrine (ANTENEN, in Commentaire romand, Code de procédure pénale suisse, 2011, no 8 ad art. 73 CPP), l'interdiction prononcée sur la base de l'art. 73 al. 2 CPP n'empêcherait pas son destinataire de communiquer à propos de la seule ouverture de la procédure, peut demeurer indécise dès lors que la recourante obtient en tout état gain de cause, ainsi qu'il ressort des considérants qui suivent.</w:t>
      </w:r>
    </w:p>
    <w:p>
      <w:r>
        <w:rPr>
          <w:b/>
        </w:rPr>
        <w:t>E. 3.2</w:t>
      </w:r>
    </w:p>
    <w:p>
      <w:r>
        <w:t>En l'espèce, le MPC fonde la mesure ici entreprise sur les allégations suivantes: "L'ouverture de la procédure a certes eu lieu en 2013, cependant, la procédure en est au stade initial. A ce jour, l'administration des preuves principales est en cours et n'est pas encore achevé[e]. Des actes d'instruction, plus particulièrement des auditions doivent être effectués. Il appartient également à la direction de la procédure de délimiter les composantes politiques passées ou actuelles de la présente procédure pénale. […]. Partant, une médiatisation de la procédure pénale pourrait compromettre la capacité d'action de la procédure, empêcher une investigation efficace et sereine de l'état de fait, voire se manifester comme un danger réel pour la procédure en question. Tout dommage éventuel par une médiatisation inutile pourrait influencer de manière négative la procédure pénale, affecter l'investigation, et porter atteinte aux intérêts de la partie plaignante et finalement aux intérêts de la dénonciatrice."</w:t>
      </w:r>
    </w:p>
    <w:p>
      <w:r>
        <w:t>- 6 -</w:t>
      </w:r>
    </w:p>
    <w:p>
      <w:r>
        <w:t>Une telle motivation ne permet pas de justifier la mesure imposée à la recourante. Elle consiste en effet en de simples généralités ne répondant aucunement – in concreto – à la question de savoir si le "but de la procédure", respectivement un "intérêt privé" exigerait véritablement d'imposer une interdiction de communiquer à la recourante. Or il est constant qu'un seul risque abstrait – tel qu'en définitive allégué en l'espèce – susceptible d'"empêcher une investigation efficace et sereine de l'état de fait" ou encore de "porter atteinte aux intérêts de la partie plaignante" ne suffit pas (SAXER/THURNHEER, op. cit., no 15 ad art. 73).</w:t>
      </w:r>
    </w:p>
    <w:p>
      <w:r>
        <w:t>A cela s'ajoute que le MPC n'a, contrairement à ce qu'exige expressément le texte légal, pas limité la durée de la mesure. Il s'est contenté, ici encore, d'une vague allusion à la "première audition de B.", dont on ignore tout de la date, alors que ladite mesure "ist […] kalendarisch zu befristen" (SAXER/THURNHEER, op. cit., no 16 in fine ad art. 73). Au demeurant, et au vu du peu d'empressement du MPC à procéder à ladite mesure en septembre 2015 (v. supra let. B) le "terme" fixé par le MPC n'en devient que plus flou.</w:t>
      </w:r>
    </w:p>
    <w:p>
      <w:r>
        <w:rPr>
          <w:b/>
        </w:rPr>
        <w:t>E. 3.3</w:t>
      </w:r>
    </w:p>
    <w:p>
      <w:r>
        <w:t>En définitive, la mesure ordonnée par le MPC à l'encontre de la recourante ne l'a pas été dans le respect des règles applicables.</w:t>
      </w:r>
    </w:p>
    <w:p>
      <w:r>
        <w:rPr>
          <w:b/>
        </w:rPr>
        <w:t>E. 4</w:t>
      </w:r>
    </w:p>
    <w:p>
      <w:r>
        <w:t>Les considérations qui précèdent conduisent à l'admission du recours formé par l'association A.</w:t>
      </w:r>
    </w:p>
    <w:p>
      <w:r>
        <w:rPr>
          <w:b/>
        </w:rPr>
        <w:t>E. 5.1</w:t>
      </w:r>
    </w:p>
    <w:p>
      <w:r>
        <w:t>Compte tenu de l'issue du recours, les frais de la présente décision sont pris en charge par la caisse de l'Etat (art. 428 al. 4 et 423 al. 1 CPP; SCHMID, Handbuch des schweizerischen Strafprozessrechts, 2ème éd. 2013, n° 1777).</w:t>
      </w:r>
    </w:p>
    <w:p>
      <w:r>
        <w:rPr>
          <w:b/>
        </w:rPr>
        <w:t>E. 5.2</w:t>
      </w:r>
    </w:p>
    <w:p>
      <w:r>
        <w:t>La partie qui obtient gain de cause a droit à une indemnité pour les dépenses occasionnées par l’exercice raisonnable de ses droits de procédure (art. 436 al. 1 en lien avec l’art. 429 al. 1 let. a CPP). La recourante ayant agi par ses propres moyens, sans faire appel aux services d'un mandataire, une indemnité d’un montant de CHF 800.-- paraît en l'espèce équitable.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