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BB.2015.93 vom 3. November 2015</w:t>
      </w:r>
    </w:p>
    <w:p>
      <w:r>
        <w:t>Bundesstrafgericht, 2015-11-03, FR</w:t>
      </w:r>
    </w:p>
    <w:p>
      <w:r>
        <w:rPr>
          <w:b/>
        </w:rPr>
        <w:t xml:space="preserve">Quelle: </w:t>
      </w:r>
      <w:r>
        <w:t>https://mcp.opencaselaw.ch/entscheid/bstger_BB.2015.93</w:t>
      </w:r>
    </w:p>
    <w:p>
      <w:r>
        <w:t>FR: TPF BB.2015.93 du 3 novembre 2015</w:t>
      </w:r>
    </w:p>
    <w:p>
      <w:r>
        <w:t>IT: TPF BB.2015.93 del 3 novembre 2015</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1.2</w:t>
      </w:r>
    </w:p>
    <w:p>
      <w:r>
        <w:t>Défenseur d'office au cours de l'instance précédente, le recourant a qualité</w:t>
      </w:r>
    </w:p>
    <w:p>
      <w:r>
        <w:t>- 4 -</w:t>
      </w:r>
    </w:p>
    <w:p>
      <w:r>
        <w:t>pour contester le jugement entrepris, en vertu de l'art. 135 al. 3 let. b CPP.</w:t>
      </w:r>
    </w:p>
    <w:p>
      <w:r>
        <w:rPr>
          <w:b/>
        </w:rPr>
        <w:t>E. 1.3</w:t>
      </w:r>
    </w:p>
    <w:p>
      <w:r>
        <w:t>Le délai pour déposer le recours n'étant pas précisé par l'art. 135 CPP, c'est celui ordinaire de 10 jours dès la notification de la décision (art. 396 al. 1 et 384 CPP) qui s'applique (HARARI/ALIBERTI, Commentaire romand, n° 33 ad art. 135 CPP). Les considérants de l'acte attaqué ayant été notifiés au plus tôt le 5 septembre 2015 (act. 1.1, p. 5, verso), le recours, formé le 16 septembre de cette même année, l'a été en temps utile.</w:t>
      </w:r>
    </w:p>
    <w:p>
      <w:r>
        <w:rPr>
          <w:b/>
        </w:rPr>
        <w:t>E. 2</w:t>
      </w:r>
    </w:p>
    <w:p>
      <w:r>
        <w:t>Compte tenu des conclusions prises par le recourant, qui dénonce implicitement une violation de l'art. 135 CPP, et de l'argumentation développée à l'appui de celles-ci, le litige porte sur le montant de l'indemnité à laquelle l'intéressé a droit en tant que défenseur d'office de B. devant la chambre pénale, plus précisément sur le temps devant être rémunéré au titre de cette activité.</w:t>
      </w:r>
    </w:p>
    <w:p>
      <w:r>
        <w:rPr>
          <w:b/>
        </w:rPr>
        <w:t>E. 3</w:t>
      </w:r>
    </w:p>
    <w:p>
      <w:r>
        <w:t>A titre liminaire, il y a lieu de relever que la chambre pénale, en statuant sur le fond le 12 février 2014 et sur l'indemnisation du défenseur d'office le 1er septembre 2015, n'a pas respecté le principe jurisprudentiel selon lequel l'autorité pénale doit se prononcer sur l'indemnité du défenseur d'office avec le fond (ATF 139 IV 199, consid. 5.1).</w:t>
      </w:r>
    </w:p>
    <w:p>
      <w:r>
        <w:rPr>
          <w:b/>
        </w:rPr>
        <w:t>E. 4.1.1</w:t>
      </w:r>
    </w:p>
    <w:p>
      <w:r>
        <w:t>L'avocat d'office a droit au remboursement intégral de ses débours, ainsi qu'à une indemnité s'apparentant aux honoraires perçus par le mandataire plaidant aux frais de son client (ATF 121 I 1 consid. 3a et références citées).</w:t>
      </w:r>
    </w:p>
    <w:p>
      <w:r>
        <w:rPr>
          <w:b/>
        </w:rPr>
        <w:t>E. 4.1.2</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Dans le même temps, le défenseur se doit d’examiner toute opération qui pourrait être utile à son client. Partant,</w:t>
      </w:r>
    </w:p>
    <w:p>
      <w:r>
        <w:t>- 5 -</w:t>
      </w:r>
    </w:p>
    <w:p>
      <w:r>
        <w:t>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(FELLMANN, Berner Kommentar, 1992, n° 426 ad art. 394 CO; cf. également la décision du Tribunal pénal fédéral BB.2013.70 du 10 septembre 2013, consid. 3).</w:t>
      </w:r>
    </w:p>
    <w:p>
      <w:r>
        <w:rPr>
          <w:b/>
        </w:rPr>
        <w:t>E. 4.1.3</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(arrêt du Tribunal fédéral 6B_108/2010 du 22 février 2011, consid. 9.1.3; décisions du Tribunal pénal fédéral BB.2014.98 du 9 octobre 2014, consid. 3.1; BB.2012.184 + BB.2012.187 du 15 mars 2013, consid. 4.4 et BK.2011.18 du 27 février 2012, consid 2.2 et références citées; BOHNET/MARTENET, Droit de la profession d’avocat, Berne 2009, n° 1756). Même si la Cour de céans dispose en l'espèce d'un plein pouvoir de cognition (cf. supra consid. 2.3) et examine donc librement la décision de l'instance inférieure, elle ne le fait qu'avec retenue lorsque l'indemnité d'un avocat d'office est litigieuse (décision du Tribunal pénal fédéral BB.2014.1 du 11 avril 2014, consid. 3.5). Dans les cas où le temps de travail facturé par l'avocat est considéré comme exagéré et réduit en conséquence, la Cour des plaintes n'intervient que lorsque n'ont pas été rétribués des services qui font partie des obligations d'un avocat d'office ou quand l'indemnisation ne se trouve pas dans un rapport raisonnable avec les services fournis par l'avocat (arrêt du Tribunal pénal fédéral BB. 2013.131 du 21 juillet 2014, consid. 2.3; voir déjà les arrêts 6B_120/2010 du 22 février 2011, consid. 3.3, et 6B_136/2009 du 12 mai 2009, consid. 2.2, rendus par le Tribunal fédéral dans le cadre de procédures fédérales menées en application de l'aPPF; le Tribunal fédéral fait même preuve d'une plus grande retenue dans l'arrêt 6B/951/2013 du 27 mars 2014, consid. 4.2).</w:t>
      </w:r>
    </w:p>
    <w:p>
      <w:r>
        <w:rPr>
          <w:b/>
        </w:rPr>
        <w:t>E. 4.2.1</w:t>
      </w:r>
    </w:p>
    <w:p>
      <w:r>
        <w:t>L'instance précédente a écarté une partie des prétentions émises par le recourant dans sa note de frais du 20 avril 2015. Un entretien d'une heure et 30 minutes, qu'avait eu l'intéressé avec son client le 22 mai 2014, ne pouvait pas être pris en considération, cette date étant postérieure au terme de la procédure d'appel. Le temps consacré à l'étude du dossier devait par ailleurs être ramené de 19 heures et 50 minutes à 10 heures, vu la nature de la cause et la connaissance de cette dernière qu'avait acquise précédemment le recourant, qui avait déjà défendu B. Enfin, seules 10 heures pouvaient être admises au titre de la préparation des débats d'appel et de la plaidoirie, et</w:t>
      </w:r>
    </w:p>
    <w:p>
      <w:r>
        <w:t>- 6 -</w:t>
      </w:r>
    </w:p>
    <w:p>
      <w:r>
        <w:t>non les 22 heures et 40 minutes revendiquées, dès lors que l'appel portait uniquement sur un volet de la culpabilité et sur la peine.</w:t>
      </w:r>
    </w:p>
    <w:p>
      <w:r>
        <w:rPr>
          <w:b/>
        </w:rPr>
        <w:t>E. 4.2.2</w:t>
      </w:r>
    </w:p>
    <w:p>
      <w:r>
        <w:t>Le recourant conteste l'ensemble de ces déductions. La visite qu'il a rendue à B. le 22 mai 2014 à la prison de Champ-Dollon aurait été nécessaire pour permettre à celui-ci – qui avait un faible niveau d'éducation scolaire et maîtrisait mal la langue française – de comprendre le contenu du jugement rendu à son encontre par la chambre pénale. Le dossier, de grande ampleur, aurait revêtu un haut degré de complexité, compte tenu en particulier des très nombreux faits considérés par les juges de première instance comme constitutifs d'infractions. Par ailleurs, s'il avait défendu B. dans le cadre d'une précédente procédure pénale, cette dernière avait porté sur des faits totalement étrangers à ceux objet de la procédure litigieuse et n'était donc pas propre à faciliter l'activité déployée en l'espèce devant la chambre pénale. Les restrictions opérées seraient d'autant plus injustifiées que la procédure d'appel présentait des enjeux importants pour B., au regard de la peine prononcée en première instance, respectivement de celle requise par le MP-GE dans son appel du 12 juillet 2013, et que la personnalité du prénommé avait compliqué sa défense.</w:t>
      </w:r>
    </w:p>
    <w:p>
      <w:r>
        <w:rPr>
          <w:b/>
        </w:rPr>
        <w:t>E. 4.2.3</w:t>
      </w:r>
    </w:p>
    <w:p>
      <w:r>
        <w:t>Le recourant n'avance pas d'éléments concrets et objectifs tendant à démontrer que la cause aurait présenté – en fait ou en droit – un caractère complexe et on ne voit pas que tel aurait été le cas. Il n'explique notamment pas en quoi le comportement adopté par B. (qui selon l'expert psychiatre intervenu en première instance ne présentait pas de troubles de la personnalité [cf. act. 1.4, pt g.b, p. 16]) durant la procédure de deuxième instance aurait été propre à rendre sa tâche plus compliquée. Le recourant se prévaut vainement du nombre de pages que comprenait le dossier et du fait que B. avait été condamné en première instance pour plusieurs infractions, dès lors qu'on doit attendre d'un avocat expérimenté et efficace dans son travail qu'il identifie rapidement les points essentiels pour la défense de son client puis se focalise sur ceux-ci. Quant à la rémunération du temps consacré à la visite du recourant au prénommé le 22 mai 2014, c'est à juste titre qu'elle a été refusée par l'instance précédente. Effectivement, le principe jurisprudentiel selon lequel l'autorité pénale doit statuer sur l'indemnité du défenseur d'office avec le fond (cf. supra consid. 3) exclut la prise en compte de toute activité postérieure au moment où se termine – avec le jugement – la procédure pour laquelle la défense d'office a été ordonnée. Dans ces conditions, les premiers juges n'ont pas commis d'abus ou d'excès de leur pouvoir d'appréciation en limitant à 34 heures et 10 minutes l'activité à prendre en considération pour fixer l'indemnité du défenseur d'office du recourant, quand bien même la peine encourue par B. en appel était relativement lourde. Cela vaut d'autant que les 16 heures et</w:t>
      </w:r>
    </w:p>
    <w:p>
      <w:r>
        <w:t>- 7 -</w:t>
      </w:r>
    </w:p>
    <w:p>
      <w:r>
        <w:t>50 minutes revendiquées pour la préparation, les 1er et 2 février 2014, des débats d'appel et de la plaidoirie (act. 1.2, p. 2) sont largement exagérées. En effet, seul demeurait alors litigieux, compte tenu du retrait partiel de l'appel survenu le 31 janvier 2014, le complexe de faits relatif à la tentative de meurtre et aux lésions corporelles simples aggravées reprochées à B.; or le recourant s'était déjà forcément penché auparavant sur celui-ci avec une attention toute particulière, dès lors qu'il constituait de loin le volet de l'affaire le plus grave. Il s'ensuit que le grief soulevé doit être rejeté.</w:t>
      </w:r>
    </w:p>
    <w:p>
      <w:r>
        <w:rPr>
          <w:b/>
        </w:rPr>
        <w:t>E. 5</w:t>
      </w:r>
    </w:p>
    <w:p>
      <w:r>
        <w:t>Les considérations qui précèdent conduisent au rejet du recours.</w:t>
      </w:r>
    </w:p>
    <w:p>
      <w:r>
        <w:rPr>
          <w:b/>
        </w:rPr>
        <w:t>E. 6</w:t>
      </w:r>
    </w:p>
    <w:p>
      <w:r>
        <w:t>Vu l'issue du litige, le recourant supportera les frais de justice. Ceux-ci prendront en l'espèce la forme d'un émolument, fixé à CHF 2'000.-- en application des art. 5 et 8 du règlement du Tribunal pénal fédéral du 31 août 2010 sur les frais, émoluments, dépens et indemnités de la procédure pénale fédérale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