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BB.2015.88 vom 27. August 2015</w:t>
      </w:r>
    </w:p>
    <w:p>
      <w:r>
        <w:t>Bundesstrafgericht, 2015-08-27, DE</w:t>
      </w:r>
    </w:p>
    <w:p>
      <w:r>
        <w:rPr>
          <w:b/>
        </w:rPr>
        <w:t xml:space="preserve">Quelle: </w:t>
      </w:r>
      <w:r>
        <w:t>https://mcp.opencaselaw.ch/entscheid/bstger_BB.2015.88</w:t>
      </w:r>
    </w:p>
    <w:p>
      <w:r>
        <w:t>FR: TPF BB.2015.88 du 27 août 2015</w:t>
      </w:r>
    </w:p>
    <w:p>
      <w:r>
        <w:t>IT: TPF BB.2015.88 del 27 agosto 2015</w:t>
      </w:r>
    </w:p>
    <w:p>
      <w:pPr>
        <w:pStyle w:val="Heading2"/>
      </w:pPr>
      <w:r>
        <w:t>Regeste</w:t>
      </w:r>
    </w:p>
    <w:p>
      <w:r>
        <w:t>Ergänzung der Akten. Parteianträge (Art. 318 i.V.m. Art. 394 lit. b e contrario StPO). Erstreckung von Fristen (Art. 92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Basel 2014, Art. 386 StPO N. 4);</w:t>
      </w:r>
    </w:p>
    <w:p>
      <w:r>
        <w:t>- bei diesem Ausgang des Verfahrens der Beschwerdeführer dessen Kosten zu tragen hat (Art. 428 Abs. 1 StPO);</w:t>
      </w:r>
    </w:p>
    <w:p>
      <w:r>
        <w:t>- diese festzusetzen sind auf das gesetzliche und reglementarische Minimum von Fr. 200.– (Art. 73 StBOG und Art. 5 und 8 Abs. 1 des Reglements des Bundesstrafgerichts vom 31. August 2010 über die Kosten, Gebühren und Entschädigungen in Bundesstrafverfahren [BStKR; SR 173.713.162]);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