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BB.2015.78 vom 5. August 2015</w:t>
      </w:r>
    </w:p>
    <w:p>
      <w:r>
        <w:t>Bundesstrafgericht, 2015-08-05, DE</w:t>
      </w:r>
    </w:p>
    <w:p>
      <w:r>
        <w:rPr>
          <w:b/>
        </w:rPr>
        <w:t xml:space="preserve">Quelle: </w:t>
      </w:r>
      <w:r>
        <w:t>https://mcp.opencaselaw.ch/entscheid/bstger_BB.2015.78</w:t>
      </w:r>
    </w:p>
    <w:p>
      <w:r>
        <w:t>FR: TPF BB.2015.78 du 5 août 2015</w:t>
      </w:r>
    </w:p>
    <w:p>
      <w:r>
        <w:t>IT: TPF BB.2015.78 del 5 agosto 2015</w:t>
      </w:r>
    </w:p>
    <w:p>
      <w:pPr>
        <w:pStyle w:val="Heading2"/>
      </w:pPr>
      <w:r>
        <w:t>Regeste</w:t>
      </w:r>
    </w:p>
    <w:p>
      <w:r>
        <w:t>Nichtanhandnahmeverfügung (Art. 310 i.V.m. Art. 322 Abs. 2 StPO).</w:t>
      </w:r>
    </w:p>
    <w:p>
      <w:pPr>
        <w:pStyle w:val="Heading2"/>
      </w:pPr>
      <w:r>
        <w:t>Erwägungen</w:t>
      </w:r>
    </w:p>
    <w:p>
      <w:r>
        <w:rPr>
          <w:b/>
        </w:rPr>
        <w:t>E. 2</w:t>
      </w:r>
    </w:p>
    <w:p>
      <w:r>
        <w:t>Juli 2015 zur Abholung gemeldet wurde (act. 6);</w:t>
      </w:r>
    </w:p>
    <w:p>
      <w:r>
        <w:t>- der Beschwerdeführer sich weigerte, die Zustellung abzuholen, da der von ihm gewünschte Adressenzusatz "völker- und bundesrechtlich geschützte /</w:t>
      </w:r>
    </w:p>
    <w:p>
      <w:r>
        <w:t>begünstigte Person des Genfer Abkommens IV / Gaststaatsgesetz, […], c/o Eidgenossenschaft" fehlte (vgl. E-Mail des Beschwerdeführers an die Beschwerdegegnerin vom 5. Juli 2015);</w:t>
      </w:r>
    </w:p>
    <w:p>
      <w:r>
        <w:t>- die Schweizerische Post am 10. Juli 2015 die Rücksendung der Zustellung veranlasste (act. 6);</w:t>
      </w:r>
    </w:p>
    <w:p>
      <w:r>
        <w:t>- nach Art. 85 Abs. 4 lit. a StPO eine eingeschriebene Postsendung, die nicht abgeholt worden ist, am siebten Tag nach dem erfolglosen Zustellungsversuch als zugestellt gilt, sofern die Person mit einer Zustellung rechnen musste; die Begründung eines Verfahrensverhältnisses die Parteien verpflichtet, sich nach Treu und Glauben zu verhalten, d.h. unter anderem dafür zu sorgen, dass ihnen behördliche Akte zugestellt werden können, welche das Verfahren betreffen (BGE 139 IV 228 E. 1.1 S. 230; 138 III 225 E. 3.1 S. 227; 130 III 396 E. 1.2.3 S. 399; je mit Hinweisen);</w:t>
      </w:r>
    </w:p>
    <w:p>
      <w:r>
        <w:t>- der Beschwerdeführer per E-Mail sich mehrmals bei der Beschwerdegegnerin nach dem Stand erkundigte und am 22. Juni 2015 die Antwort erhielt, die Verfügung sei in Arbeit und er werde noch um etwas Geduld gebeten; der Beschwerdeführer entsprechend mit der Zustellung rechnen musste;</w:t>
      </w:r>
    </w:p>
    <w:p>
      <w:r>
        <w:t>- die zehntägige Frist zur Beschwerdeerhebung mithin am 20. Juli 2015 abgelaufen ist;</w:t>
      </w:r>
    </w:p>
    <w:p>
      <w:r>
        <w:t>- die Frist gewahrt ist, wenn die Beschwerde spätestens am letzten Tag der Frist der Beschwerdeinstanz, der Schweizerischen Post, einer schweizerischen diplomatischen oder konsularischen Vertretung oder im Falle von inhaftierten Personen der Anstaltsleitung übergeben worden ist (Art. 91 Abs. 2 StPO)</w:t>
      </w:r>
    </w:p>
    <w:p>
      <w:r>
        <w:t>- die Beschwerde am 24. Juli 2015 bei der Schweizerischen Post – daher verspätet – eingereicht worden ist, weshalb darauf nicht einzutreten ist;</w:t>
      </w:r>
    </w:p>
    <w:p>
      <w:r>
        <w:t>- aus diesem Grund auf die Durchführung eines Schriftenwechsels verzichtet worden ist (Art. 390 Abs. 2 StPO e contrario);</w:t>
      </w:r>
    </w:p>
    <w:p>
      <w:r>
        <w:t>- bei diesem Ausgang der Beschwerdeführer die Gerichtskosten zu tragen haben (Art. 428 Abs. 1 StPO), wobei die Gerichtsgebühr auf Fr. 500.-- festzusetzen ist (Art. 73 StBOG i.V.m. Art. 5 und 8 Abs. 1 BStKR).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