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BB.2015.66 vom 10. Dezember 2015</w:t>
      </w:r>
    </w:p>
    <w:p>
      <w:r>
        <w:t>Bundesstrafgericht, 2015-12-10, FR</w:t>
      </w:r>
    </w:p>
    <w:p>
      <w:r>
        <w:rPr>
          <w:b/>
        </w:rPr>
        <w:t xml:space="preserve">Quelle: </w:t>
      </w:r>
      <w:r>
        <w:t>https://mcp.opencaselaw.ch/entscheid/bstger_BB.2015.66</w:t>
      </w:r>
    </w:p>
    <w:p>
      <w:r>
        <w:t>FR: TPF BB.2015.66 du 10 décembre 2015</w:t>
      </w:r>
    </w:p>
    <w:p>
      <w:r>
        <w:t>IT: TPF BB.2015.66 del 10 dicembre 2015</w:t>
      </w:r>
    </w:p>
    <w:p>
      <w:pPr>
        <w:pStyle w:val="Heading2"/>
      </w:pPr>
      <w:r>
        <w:t>Regeste</w:t>
      </w:r>
    </w:p>
    <w:p>
      <w:r>
        <w:t>Consultation des dossiers (art. 101 s. en lien avec l'art. 107 al. 1 let. a CPP). Séquestre (art. 263 ss CPP). Actes de procédure du Ministère public de la Confédération (art. 20 al. 1 let. b en lien avec l'art. 393 al. 1 let. a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[ci-après: Message CPP], FF 2006 1057, p. 1296 in fine; GUIDON, Commentaire bâlois, Schweizerische Strafprozessordnung, 2e éd., Bâle 2014, n° 15 ad art. 393; KELLER, Donatsch/Hansjakob/Lieber [édit.], Kommentar zur Schweizerischen Strafprozessordnung [StPO], Zurich/Bâle/ Genève 2014, 2e éd., n° 39 ad art. 393; SCHMID, Handbuch des schweizerischen Strafprozessrechts, 2e éd., Zurich 2013, n° 1512).</w:t>
      </w:r>
    </w:p>
    <w:p>
      <w:r>
        <w:rPr>
          <w:b/>
        </w:rPr>
        <w:t>E. 1.2</w:t>
      </w:r>
    </w:p>
    <w:p>
      <w:r>
        <w:t>Les décisions du MPC peuvent faire l'objet d'un recours devant la Cour de céans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est recevable à la condition que le recourant dispose d'un intérêt juridiquement protégé à l'annulation ou à la modification de la décision entreprise (art. 382 al. 1 CPP). Le recourant doit avoir subi une lésion, soit un préjudice causé par l'acte qu'il attaque et doit avoir un intérêt à l'élimination de ce préjudice. Cet intérêt doit être actuel et pratique (arrêts du Tribunal fédéral 1B_669/2012 du 12 mars 2013 et 1B_657/2012 du 8 mars 2013, consid. 2.3.1; décisions du Tribunal pénal fédéral BB.2013.173-174 du 24 janvier 2014, consid. 1.3.1; BB.2013.89 du 24 octobre 2013, consid. 1.3; BB.2013.88 du 13 septembre 2013, consid. 1.4 et références citées).</w:t>
      </w:r>
    </w:p>
    <w:p>
      <w:r>
        <w:rPr>
          <w:b/>
        </w:rPr>
        <w:t>E. 1.4</w:t>
      </w:r>
    </w:p>
    <w:p>
      <w:r>
        <w:t>La qualité pour recourir doit être reconnue au recourant en tant qu'il s'en</w:t>
      </w:r>
    </w:p>
    <w:p>
      <w:r>
        <w:t>- 6 -</w:t>
      </w:r>
    </w:p>
    <w:p>
      <w:r>
        <w:t>prend à la décision du 11 juin 2015, dans la mesure où il est le titulaire de la relation n° 1 et du coffre-fort saisis auprès de la banque B., ainsi que de la relation n° 7 ouverte chez la banque N. (act. 4.3). Pour le surplus, déposé le 22 juin 2015, le recours l'a été en temps utile (act. 1). Le recours doit en revanche être déclaré irrecevable pour toutes les autres relations visées par la mesure, le recourant n'en étant pas le titulaire (cf. arrêts du Tribunal fédéral 1B_94/2012 du 2 avril 2012, consid. 2.1; 6S.365/2005 du 8 février 2006, consid. 4.2.1).</w:t>
      </w:r>
    </w:p>
    <w:p>
      <w:r>
        <w:rPr>
          <w:b/>
        </w:rPr>
        <w:t>E. 1.5</w:t>
      </w:r>
    </w:p>
    <w:p>
      <w:r>
        <w:t>En outre, il y a lieu de constater que le grief relatif à la prétendue violation du droit du recourant à consulter le dossier est sans rapport direct avec le dispositif de la décision querellée, ce qui rend d’emblée le recours sur ce autre point irrecevable (cf. décisions du Tribunal pénal fédéral BB.2015.48 du 8 décembre 2015, consid. 1.4; BB.2015.125 du 1er décembre 2015). En effet, l'objet de la décision du 11 juin 2015 est uniquement le refus de lever le séquestre pénal conservatoire sur les comptes dont le recourant est titulaire, ainsi que la mise sous séquestre des avoirs et documents contenus dans le coffre-fort n° 8 auprès de la banque B. (act. 1.25; cf. ég. let. J). Dans son courrier au MPC, ayant provoqué la décision querellée, le recourant ne formulait par ailleurs pas une requête visant à pouvoir accéder au dossier de la procédure. Il appert que le recourant conteste en réalité des prononcés précédents, par lesquelles le MPC lui refusait l'accès au dossier, mais dont le délai pour les attaquer est à ce jour échu. Il n'appartient pas à la Cour de céans de se prononcer indirectement sur un objet qui n'est pas visé par la décision entreprise. Aussi, toute conclusion tendant à amener la Cour des plaintes à se substituer à la direction de la procédure, en l’absence de décision querellée et en la priant de décider à futur d’étapes d’enquête ou de considérations juridiques, est-elle d’emblée dépourvue de chance de succès (décision BB.2015.48 précitée, consid. 1.4).</w:t>
      </w:r>
    </w:p>
    <w:p>
      <w:r>
        <w:rPr>
          <w:b/>
        </w:rPr>
        <w:t>E. 1.6</w:t>
      </w:r>
    </w:p>
    <w:p>
      <w:r>
        <w:t>Le même raisonnement doit s'appliquer à l'argument du recourant selon lequel le MPC aurait violé la présomption d'innocence en demandant au recourant d'apporter la preuve du caractère licite de ses fonds. Une telle démarche serait, toujours selon celui-ci, constitutive d'un renversement du fardeau de la preuve. Ce grief sort également du cadre du présent recours, étant donné qu'il ne fait pas l'objet de la décision attaquée. Ainsi, pour les mêmes motifs précédemment mentionnés, ce grief est donc irrecevable.</w:t>
      </w:r>
    </w:p>
    <w:p>
      <w:r>
        <w:rPr>
          <w:b/>
        </w:rPr>
        <w:t>E. 2</w:t>
      </w:r>
    </w:p>
    <w:p>
      <w:r>
        <w:t>Sur le fond, le recourant dénonce une violation de l'art. 263 al. 2 CPP en alléguant un défaut de motivation des ordonnances de séquestre des 14 et 20 août 2014.</w:t>
      </w:r>
    </w:p>
    <w:p>
      <w:r>
        <w:t>- 7 -</w:t>
      </w:r>
    </w:p>
    <w:p>
      <w:r>
        <w:rPr>
          <w:b/>
        </w:rPr>
        <w:t>E. 2.1</w:t>
      </w:r>
    </w:p>
    <w:p>
      <w:r>
        <w:t>Les exigences de motivation des prononcés découlent du droit d'être entendu garanti par les art. 29 al. 2 Cst. et 3 al. 2 let. c CPP (ATF 138 IV 81 consid. 2.2). L'obligation pour l'autorité d'indiquer les motifs qui la conduisent à sa décision tend à donner à la personne touchée les moyens d'apprécier la portée du prononcé et de le contester efficacement, s'il y a lieu, devant une instance supérieure (arrêt du Tribunal fédéral 1P.716/2006 du 10 novembre 2006, consid. 2.2). Elle peut toutefois se limiter à l'examen des questions décisives pour l'issue du litige (ATF 134 I 83 consid. 4.1 et jurisprudence citée); il suffit que le justiciable puisse apprécier correctement la portée de la décision et l'attaquer à bon escient (arrêt du Tribunal fédéral 1B_114/2010 du 28 juin 2010, consid. 4.1 et jurisprudence citée). La personne privée de la libre disposition de ses biens a le droit de savoir pour les besoins de quelle procédure cette mesure est ordonnée. Cela exige de lui indiquer, de manière succincte, contre qui l’action pénale est engagée, quels sont les faits poursuivis et surtout pour quelles raisons le séquestre doit être prononcé (LEMBO/JULEN BERTHOD, CR-CPP, n° 71 ad art. 263; arrêt du Tribunal fédéral 1A.95/2002 du 16 juillet 2002, consid. 3.3).</w:t>
      </w:r>
    </w:p>
    <w:p>
      <w:r>
        <w:rPr>
          <w:b/>
        </w:rPr>
        <w:t>E. 2.2</w:t>
      </w:r>
    </w:p>
    <w:p>
      <w:r>
        <w:t>En l'espèce, le recourant attaque des ordonnances contre lesquelles il n'a pas recouru en temps utile, et est donc forclos (ordonnances de séquestre des 14 et 20 août 2014). L'examen de ce grief doit donc se faire principalement sur la base de la décision querellée, dans laquelle le MPC a exposé, bien que de manière succincte, les éléments factuels et juridiques ainsi que les étapes du raisonnement l'ayant conduit à prononcer la décision querellée. A la lecture de celle-ci – avec un regard à la motivation contenue dans les deux ordonnances de séquestre précitées par renvoi implicite – on infère clairement que les relations bancaires détenues ou contrôlées par le recourant ont fait l'objet d'annonces au MROS car suspectées d'héberger des fonds provenant d'infractions telles que fraude, abus de confiance, falsification et blanchiment d'argent commises au pays Z. Il ressort également des décisions querellées que le MPC a ouvert une enquête contre le prévenu du chef de blanchiment d'argent aggravé (art. 305bis al. 2 CP) puisque suspecté d'être impliqué, aux côtés d'autres personnes proches de la banque H. dans les malversations précitées. Il est finalement précisé que lesdites malversations font l'objet d'une enquête pénale au pays Z., enquête dénommée "I.". Il en découle que la lecture de la décision querellée permet de comprendre sans difficulté les motifs qui l'ont fondée. Ces motivations n'ont du reste pas échappé au recourant qui a été précisément en mesure de les attaquer. Par conséquent, le grief doit être rejeté.</w:t>
      </w:r>
    </w:p>
    <w:p>
      <w:r>
        <w:rPr>
          <w:b/>
        </w:rPr>
        <w:t>E. 3</w:t>
      </w:r>
    </w:p>
    <w:p>
      <w:r>
        <w:t>Le recourant s'en prend à la légalité du séquestre. Il allègue pour l'essentiel l'absence de lien de connexité entre les fonds saisis et les actes sous</w:t>
      </w:r>
    </w:p>
    <w:p>
      <w:r>
        <w:t>- 8 -</w:t>
      </w:r>
    </w:p>
    <w:p>
      <w:r>
        <w:t>enquête. Il conclut à l'insuffisance des indices permettant le maintien de la mesure.</w:t>
      </w:r>
    </w:p>
    <w:p>
      <w:r>
        <w:rPr>
          <w:b/>
        </w:rPr>
        <w:t>E. 3.1</w:t>
      </w:r>
    </w:p>
    <w:p>
      <w:r>
        <w:t>En tant que restriction du droit de propriété, le séquestre n'est compatible avec la Constitution que s'il repose sur une base légale, est justifié par un intérêt public suffisant et respecte le principe de la proportionnalité (art. 26 al. 1 Cst. en relation avec l'art. 36 al. 1 à 3 Cst.; art. 263 ss CPP cum art. 197 CPP; ATF 130 I 360 consid. 1.2; 126 I 219 consid. 2a et 2c). Ce dernier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136 IV 97 consid. 5.2.2 et les arrêts cités).</w:t>
      </w:r>
    </w:p>
    <w:p>
      <w:r>
        <w:rPr>
          <w:b/>
        </w:rPr>
        <w:t>E. 3.2</w:t>
      </w:r>
    </w:p>
    <w:p>
      <w:r>
        <w:t>Le séquestre pénal est une mesure conservatoire provisoire destinée à préserver les objets ou valeurs que le juge du fond pourrait être amené à confisquer ou qui pourraient servir à l'exécution d'une créance compensatrice. Il est proportionné lorsqu'il porte sur des avoirs dont on peut admettre qu'ils pourront être vraisemblablement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116 Ib 96 consid. 3a; arrêt du Tribunal fédéral 1B_390/2013 du 10 janvier 2014, consid. 2.1). 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(arrêts 1B_390/2013 précité, consid. 2.1, 1B_175/2012 du 5 septembre 2012, consid. 4.1 et 1P.405/1993 du 8 novembre 1993, consid. 3 publié in: SJ 1994 p. 97). En outre, pour que le maintien du séquestre pendant une période prolongée se justifie, il importe que les présomptions se renforcent en cours d'enquête (ATF 122 IV 91 consid. 4; LEMBO/JULEN BERTHOD, CR-CPP, 2011, n° 26 ad art. 263 CPP). Selon la jurisprudence, un séquestre peut apparaître disproportionné lorsque la procédure dans laquelle il s'inscrit se poursuit sans motifs suffisants (ATF 132 I 229 consid. 11.6). Un délai raisonnable peut, le cas échéant, être fixé pour qu'il soit procédé aux actes nécessaires et à la clôture de l'enquête; cette faculté n'est cependant pas toujours ouverte, en particulier lorsque le retard découle de résultats de commissions rogatoires à l'étranger (arrêts du Tribunal fédéral 1B_458/2012 du 25 novembre 2012, consid. 3.1; 1B_179/2009 du 24 novembre 2009, consid.</w:t>
      </w:r>
    </w:p>
    <w:p>
      <w:r>
        <w:t>- 9 -</w:t>
      </w:r>
    </w:p>
    <w:p>
      <w:r>
        <w:t>3.2).</w:t>
      </w:r>
    </w:p>
    <w:p>
      <w:r>
        <w:rPr>
          <w:b/>
        </w:rPr>
        <w:t>E. 3.3</w:t>
      </w:r>
    </w:p>
    <w:p>
      <w:r>
        <w:t>Le MPC indique en substance que, sur la base de l'annonce MROS ainsi que des renseignements recueillis, il soupçonne que les avoirs déposés sur les comptes saisis pourraient être issus de malversations commises notamment au pays Z. et dans le pays W. dans le cadre de la débâcle du groupe H. dont le préjudice s'élèverait à plusieurs milliards d'euros. Plus concrètement, selon l'hypothèse d'enquête poursuivie par le MPC, A. aurait blanchi au moyen de sociétés offshores, des valeurs patrimoniales produit des malversations commises au sein du groupe H., en particulier dans l'exercice de ses fonctions respectives au sein de la banque H. et de la banque K. Cette dernière entité aurait, sous la gouvernance du recourant, octroyé indûment des crédits pour un montant s'élevant à plus de USD 4 milliards mettant en péril la survie de l'établissement (act. 4). Le recourant a apporté des précisions notamment en produisant des documents démontrant qu'il n'avait jamais exercé de fonction influente auprès de la banque H., que, s'il reconnaît avoir été directeur exécutif de banque K., il relativise néanmoins son pouvoir décisionnel au sein de la société n'étant pas seul à agir pour le compte de la banque K., dont la banque H. était, à ses dires, l'actionnaire majoritaire (act. 1 et 7). Il relève qu'au pays Z. une enquête pénale a été ouverte à l'encontre de onze personnes formellement inculpées parmi lesquelles il ne figurerait pas. Il prétend, dans plusieurs écrits adressés au MPC ainsi que dans le recours, sans toutefois produire une documentation détaillée sur ce point, que ses avoirs saisis en Suisse tirent leur origine dans son activité bancaire déployée sur plusieurs années, ce qui exclurait le caractère criminel desdites valeurs. Il relève finalement qu'au pays Z. les autorités pénales auraient limité leur séquestre à des biens immobiliers sis dans ce pays à hauteur d'EUR 80 millions. Il en conclut que la saisie globale d'EUR 80 millions au pays Z. et environ CHF 164 millions en Suisse, excèderait le montant d'USD 144 millions se rapportant, selon les autorités du pays Z., à la somme des transactions litigieuses susceptibles d'être reprochées à A. La saisie serait par conséquent disproportionnée.</w:t>
      </w:r>
    </w:p>
    <w:p>
      <w:r>
        <w:rPr>
          <w:b/>
        </w:rPr>
        <w:t>E. 3.4</w:t>
      </w:r>
    </w:p>
    <w:p>
      <w:r>
        <w:t>La saisie est certes en place depuis environ un an et demi, sa durée est cependant loin d'être considérée comme critique au vue de la jurisprudence ainsi que du contexte de l'enquête. Cette dernière apparaît complexe à plusieurs titres. La documentation bancaire saisie exige des analyses bancaires qui peuvent prendre un certain temps notamment au vu du nombre des relations bancaires visées, des structures économiques utilisées (sociétés offshores, ventilation de capitaux sur plusieurs comptes de tierces personnes mais contrôlés par le prévenu) ainsi que du caractère international de l'affaire. La mesure est parfaitement compréhensible eu égard à la débâcle de la banque H. et de la banque K. et de la fonction du</w:t>
      </w:r>
    </w:p>
    <w:p>
      <w:r>
        <w:t>- 10 -</w:t>
      </w:r>
    </w:p>
    <w:p>
      <w:r>
        <w:t>prévenu au sein de banque K. La mesure est également justifiée eu égard à l'existence d'une enquête au pays Z. Le fait que le recourant ne serait pas mis en cause au pays Z. ne change rien à ce qu'il ait pu se servir directement ou indirectement de relations bancaires en Suisse pour blanchir des capitaux provenant de crimes commis à l'encontre de la banque H. et de la banque K. Cela d'autant plus que les explications avancées par le recourant quant à la source des capitaux placés en Suisse ne sont, pour l'heure, pas de nature à dissiper tout doute quant à une éventuelle provenance illégale. Tous ces éléments, placés dans le contexte général de l'espèce, sont certainement propres à éveiller les soupçons quant à la provenance licite desdits fonds. Ces soupçons suffisent, à ce stade de la procédure, pour justifier la mesure de séquestre sur la totalité des avoirs saisis. La levée partielle de la mesure n'entre pas non plus en ligne de compte eu égard notamment à l'importance des montants globaux détournés à la banque H. (environ EUR 4 milliards). Ces mêmes soupçons empêchent également de restituer au recourant la documentation saisie dans son coffre-fort.</w:t>
      </w:r>
    </w:p>
    <w:p>
      <w:r>
        <w:t>Le jugement du 19 novembre 2015 (act. 11), produit en dernier lieu spontanément par le recourant, et qui, à ses dires, écarterait tous les suspects à son égard, ne saurait justifier, à ce stade, la levée des séquestres pénaux objet du recours. En effet, ledit jugement, lequel au demeurant n'a pas fait l'objet d'une traduction et dont une vérification du contenu de la part de la Cour est dès lors impossible, concernerait les séquestres mis en œuvre au pays Z. uniquement. Quand bien même les valeurs du recourant saisies au pays Z. aurait été libérées par les autorités de ce pays rien ne permet a priori d'exclure que les fonds saisis en Suisse par le MPC puissent être d'origine criminelle.</w:t>
      </w:r>
    </w:p>
    <w:p>
      <w:r>
        <w:t>Il sied néanmoins de relever qu'il incombera au MPC dans la suite de son instruction de déterminer avec plus de précision les états de faits à la base des infractions pouvant être imputées au prévenu. La présentation de requêtes d'entraide au pays Z., semble rapidement s'imposer afin d'élucider les éventuelles infractions préalables aux actes de blanchiment reprochés au prévenu.</w:t>
      </w:r>
    </w:p>
    <w:p>
      <w:r>
        <w:rPr>
          <w:b/>
        </w:rPr>
        <w:t>E. 3.5</w:t>
      </w:r>
    </w:p>
    <w:p>
      <w:r>
        <w:t>Il en découle que le grief doit être rejeté.</w:t>
      </w:r>
    </w:p>
    <w:p>
      <w:r>
        <w:rPr>
          <w:b/>
        </w:rPr>
        <w:t>E. 4</w:t>
      </w:r>
    </w:p>
    <w:p>
      <w:r>
        <w:t>Compte tenu de ce qui précède, le recours doit être rejeté dans la mesure où il est recevable.</w:t>
      </w:r>
    </w:p>
    <w:p>
      <w:r>
        <w:rPr>
          <w:b/>
        </w:rPr>
        <w:t>E. 5</w:t>
      </w:r>
    </w:p>
    <w:p>
      <w:r>
        <w:t>Les frais de la procédure de recours sont mis à la charge des parties dans</w:t>
      </w:r>
    </w:p>
    <w:p>
      <w:r>
        <w:t>- 11 -</w:t>
      </w:r>
    </w:p>
    <w:p>
      <w:r>
        <w:t>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2'000.-- et mis à la charge du recourant.</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