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BB.2015.64 vom 19. Juni 2015</w:t>
      </w:r>
    </w:p>
    <w:p>
      <w:r>
        <w:t>Bundesstrafgericht, 2015-06-19, DE</w:t>
      </w:r>
    </w:p>
    <w:p>
      <w:r>
        <w:rPr>
          <w:b/>
        </w:rPr>
        <w:t xml:space="preserve">Quelle: </w:t>
      </w:r>
      <w:r>
        <w:t>https://mcp.opencaselaw.ch/entscheid/bstger_BB.2015.64</w:t>
      </w:r>
    </w:p>
    <w:p>
      <w:r>
        <w:t>FR: TPF BB.2015.64 du 19 juin 2015</w:t>
      </w:r>
    </w:p>
    <w:p>
      <w:r>
        <w:t>IT: TPF BB.2015.64 del 19 giugno 2015</w:t>
      </w:r>
    </w:p>
    <w:p>
      <w:pPr>
        <w:pStyle w:val="Heading2"/>
      </w:pPr>
      <w:r>
        <w:t>Regeste</w:t>
      </w:r>
    </w:p>
    <w:p>
      <w:r>
        <w:t>Wiederherstellung einer Frist (Art. 94 StPO).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Aufl., Zürich/Basel/Genf 2014, N 2 zu Art. 94); demgegenüber etwa</w:t>
      </w:r>
    </w:p>
    <w:p>
      <w:r>
        <w:t>- 4 -</w:t>
      </w:r>
    </w:p>
    <w:p>
      <w:r>
        <w:t>Schwierigkeiten bei der postalischen Zustellung aus dem Ausland, Rechts- unkenntnis oder mangelnde Sprachkenntnis keine Wiederherstellungs- gründe darstellen (Urteil des Bundesgerichts 1B_250/2012 vom 31. Juli 2012, E. 2.3; RIEDO, in: Niggli/Heer/Wiprächtiger [Hrsg.], Schweize- rische Strafprozessordnung, 2. Aufl., Basel 2014, N 38 zu Art. 94);</w:t>
      </w:r>
    </w:p>
    <w:p>
      <w:r>
        <w:t>- die Gesuchsteller ausführen, dass die Nichtanhandnahmeverfügung zu- nächst ins Englische und die Beschwerde alsdann vom Englischen ins Deut- sche hätten übersetzt werden müssen, sodass die Beschwerde erst am 1. April 2015 versandbereit gewesen sei; die Gesuchsteller de facto bloss</w:t>
      </w:r>
    </w:p>
    <w:p>
      <w:r>
        <w:rPr>
          <w:b/>
        </w:rPr>
        <w:t>E. 3</w:t>
      </w:r>
    </w:p>
    <w:p>
      <w:r>
        <w:t>Tage Zeit gehabt hätten, um die Beschwerde zu verfassen, da die restli- chen Tage für die Übersetzungen verwendet worden seien;</w:t>
      </w:r>
    </w:p>
    <w:p>
      <w:r>
        <w:t>- infolge Abwesenheit einer Schweizerischen Poststelle und/oder einer recht- mässigen konsularischen Vertretung der Schweiz auf den Hawaiischen In- seln die Gesuchsteller zwingend einen privaten Kurierdienst hätten beauftra- gen müssen, welchem sie die Beschwerde in guten Treuen am 1. April 2015, mithin einen Tag vor Ablauf der Beschwerdefrist, übergeben hätten (act. 1 S. 5 f.);</w:t>
      </w:r>
    </w:p>
    <w:p>
      <w:r>
        <w:t>- Versäumnis infolge Übersetzungstätigkeiten und Unkenntnis des geltenden Prozessrechts jedoch keine Wiederherstellungsgründe darstellen; die Ge- suchsteller damit weder subjektive noch objektive Gründe für eine unver- schuldete Säumnis glaubhaft gemacht haben, die Versäumnis mithin als von den Gesuchstellern verschuldet gilt, weshalb das Wiederherstellungsgesuch sogleich und ohne Durchführung eines Schriftenwechsels abzuweisen ist (Art. 390 Abs. 2 StPO e contrario);</w:t>
      </w:r>
    </w:p>
    <w:p>
      <w:r>
        <w:t>- unter diesen Umständen die Frage der fristgerechten Einreichung des Wie- derherstellungsgesuchs nicht geklärt werden muss;</w:t>
      </w:r>
    </w:p>
    <w:p>
      <w:r>
        <w:t>- bei diesem Ausgang die Gesuchsteller die Gerichtskosten zu tragen hätten (Art. 428 Abs. 1 StPO), aufgrund der gegebenen Umstände jedoch auf die Erhebung einer Gerichtsgebühr zu verzichten ist (DOMEISEN, in: Nig- gli/Heer/Wiprächtiger [Hrsg.], Schweizerische Strafprozessordnung [StPO], 2. Aufl., Basel 2014, N 5 zu Art. 428).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