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BB.2015.36 vom 28. April 2015</w:t>
      </w:r>
    </w:p>
    <w:p>
      <w:r>
        <w:t>Bundesstrafgericht, 2015-04-28, DE</w:t>
      </w:r>
    </w:p>
    <w:p>
      <w:r>
        <w:rPr>
          <w:b/>
        </w:rPr>
        <w:t xml:space="preserve">Quelle: </w:t>
      </w:r>
      <w:r>
        <w:t>https://mcp.opencaselaw.ch/entscheid/bstger_BB.2015.36</w:t>
      </w:r>
    </w:p>
    <w:p>
      <w:r>
        <w:t>FR: TPF BB.2015.36 du 28 avril 2015</w:t>
      </w:r>
    </w:p>
    <w:p>
      <w:r>
        <w:t>IT: TPF BB.2015.36 del 28 aprile 2015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April 2015 und somit nach Ablauf der zehntägigen Beschwerdefrist über- geben worden ist (act. 4);</w:t>
      </w:r>
    </w:p>
    <w:p>
      <w:r>
        <w:t>- die Beschwerde daher verspätet eingereicht worden ist, weshalb darauf nicht einzutreten ist;</w:t>
      </w:r>
    </w:p>
    <w:p>
      <w:r>
        <w:t>- aus diesem Grund auf die Durchführung eines Schriftenwechsels verzichtet worden ist (Art. 390 Abs. 2 StPO e contrario);</w:t>
      </w:r>
    </w:p>
    <w:p>
      <w:r>
        <w:t>- bei diesem Ausgang die Beschwerdeführer unter solidarischer Haftung die Gerichtskosten zu tragen haben (Art. 428 Abs. 1 StPO), wobei die Gerichts- gebühr auf Fr. 500.-- festzusetzen ist (Art. 73 StBOG i.V.m. Art. 5 und 8 Abs. 1 BStKR).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